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37D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r>
        <w:rPr>
          <w:rFonts w:hint="eastAsia" w:ascii="黑体" w:hAnsi="黑体" w:eastAsia="黑体" w:cs="黑体"/>
          <w:color w:val="auto"/>
          <w:sz w:val="36"/>
          <w:szCs w:val="36"/>
          <w:highlight w:val="none"/>
          <w:lang w:val="en-US" w:eastAsia="zh-CN"/>
        </w:rPr>
        <w:t xml:space="preserve"> 宁德外轮代理有限公司交通艇租用采购项目服务要求</w:t>
      </w:r>
    </w:p>
    <w:p w14:paraId="77059099">
      <w:pPr>
        <w:rPr>
          <w:highlight w:val="none"/>
        </w:rPr>
      </w:pPr>
    </w:p>
    <w:p w14:paraId="1501A41B">
      <w:pPr>
        <w:rPr>
          <w:highlight w:val="none"/>
        </w:rPr>
      </w:pPr>
    </w:p>
    <w:p w14:paraId="75E0C4E3">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宁德外轮代理有限公司</w:t>
      </w:r>
      <w:r>
        <w:rPr>
          <w:rFonts w:hint="eastAsia" w:ascii="仿宋_GB2312" w:hAnsi="仿宋_GB2312" w:eastAsia="仿宋_GB2312" w:cs="仿宋_GB2312"/>
          <w:sz w:val="28"/>
          <w:szCs w:val="28"/>
          <w:highlight w:val="none"/>
          <w:lang w:eastAsia="zh-CN"/>
        </w:rPr>
        <w:t>（以下简称采购单位）</w:t>
      </w:r>
      <w:r>
        <w:rPr>
          <w:rFonts w:hint="eastAsia" w:ascii="仿宋_GB2312" w:hAnsi="仿宋_GB2312" w:eastAsia="仿宋_GB2312" w:cs="仿宋_GB2312"/>
          <w:sz w:val="28"/>
          <w:szCs w:val="28"/>
          <w:highlight w:val="none"/>
        </w:rPr>
        <w:t>交通艇</w:t>
      </w:r>
      <w:r>
        <w:rPr>
          <w:rFonts w:hint="eastAsia" w:ascii="仿宋_GB2312" w:hAnsi="仿宋_GB2312" w:eastAsia="仿宋_GB2312" w:cs="仿宋_GB2312"/>
          <w:sz w:val="28"/>
          <w:szCs w:val="28"/>
          <w:highlight w:val="none"/>
          <w:lang w:val="en-US" w:eastAsia="zh-CN"/>
        </w:rPr>
        <w:t>租用采购项目，拟采用询价方式组织采购。</w:t>
      </w:r>
    </w:p>
    <w:p w14:paraId="270FA5CA">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highlight w:val="none"/>
          <w:lang w:val="en-US" w:eastAsia="zh-CN"/>
        </w:rPr>
      </w:pPr>
    </w:p>
    <w:p w14:paraId="5D2691B1">
      <w:pPr>
        <w:keepNext w:val="0"/>
        <w:keepLines w:val="0"/>
        <w:pageBreakBefore w:val="0"/>
        <w:widowControl w:val="0"/>
        <w:numPr>
          <w:ilvl w:val="0"/>
          <w:numId w:val="1"/>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项目名称：</w:t>
      </w:r>
      <w:r>
        <w:rPr>
          <w:rFonts w:hint="eastAsia" w:ascii="仿宋_GB2312" w:hAnsi="仿宋_GB2312" w:eastAsia="仿宋_GB2312" w:cs="仿宋_GB2312"/>
          <w:sz w:val="28"/>
          <w:szCs w:val="28"/>
          <w:highlight w:val="none"/>
        </w:rPr>
        <w:t>宁德外轮代理有限公司交通艇租用</w:t>
      </w:r>
      <w:r>
        <w:rPr>
          <w:rFonts w:hint="eastAsia" w:ascii="仿宋_GB2312" w:hAnsi="仿宋_GB2312" w:eastAsia="仿宋_GB2312" w:cs="仿宋_GB2312"/>
          <w:sz w:val="28"/>
          <w:szCs w:val="28"/>
          <w:highlight w:val="none"/>
          <w:lang w:eastAsia="zh-CN"/>
        </w:rPr>
        <w:t>。</w:t>
      </w:r>
    </w:p>
    <w:p w14:paraId="1039C0CD">
      <w:pPr>
        <w:pStyle w:val="2"/>
        <w:numPr>
          <w:ilvl w:val="0"/>
          <w:numId w:val="0"/>
        </w:numPr>
        <w:ind w:leftChars="0" w:right="-624" w:rightChars="0"/>
        <w:rPr>
          <w:rFonts w:hint="eastAsia"/>
          <w:sz w:val="28"/>
          <w:szCs w:val="28"/>
          <w:highlight w:val="none"/>
          <w:lang w:eastAsia="zh-CN"/>
        </w:rPr>
      </w:pPr>
    </w:p>
    <w:p w14:paraId="28E9B044">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二、项目概况及内容</w:t>
      </w:r>
    </w:p>
    <w:p w14:paraId="096016EB">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1.开展航道巡查作业交通艇租用主要航线（依据海事部门三都澳内现阶段航道示意图）：</w:t>
      </w:r>
    </w:p>
    <w:p w14:paraId="5D43F550">
      <w:pPr>
        <w:pStyle w:val="2"/>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 单船进出港航线：礁头→显角→14#浮→礁头；</w:t>
      </w:r>
    </w:p>
    <w:p w14:paraId="68FF21C5">
      <w:pPr>
        <w:pStyle w:val="2"/>
        <w:numPr>
          <w:ilvl w:val="0"/>
          <w:numId w:val="2"/>
        </w:numPr>
        <w:ind w:left="560" w:leftChars="0" w:firstLine="0" w:firstLineChars="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二艘及以上船舶进出港航线：往返于显角与14#浮之间。</w:t>
      </w:r>
    </w:p>
    <w:p w14:paraId="649BDEF1">
      <w:pPr>
        <w:pStyle w:val="2"/>
        <w:numPr>
          <w:ilvl w:val="0"/>
          <w:numId w:val="2"/>
        </w:numPr>
        <w:ind w:left="560" w:leftChars="0" w:firstLine="0" w:firstLineChars="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三都澳内临时航线（根据实际业务开展需求待定）</w:t>
      </w:r>
    </w:p>
    <w:p w14:paraId="79D5655A">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2.租用时间：根据公司船舶进出港为准，</w:t>
      </w:r>
      <w:bookmarkStart w:id="0" w:name="_GoBack"/>
      <w:bookmarkEnd w:id="0"/>
      <w:r>
        <w:rPr>
          <w:rFonts w:hint="eastAsia" w:ascii="仿宋_GB2312" w:hAnsi="仿宋_GB2312" w:eastAsia="仿宋_GB2312" w:cs="仿宋_GB2312"/>
          <w:color w:val="auto"/>
          <w:sz w:val="28"/>
          <w:szCs w:val="28"/>
          <w:highlight w:val="none"/>
          <w:lang w:val="en-US" w:eastAsia="zh-CN"/>
        </w:rPr>
        <w:t>当日进或出所有船舶通过</w:t>
      </w:r>
    </w:p>
    <w:p w14:paraId="29B396BE">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巡查路线为止。</w:t>
      </w:r>
    </w:p>
    <w:p w14:paraId="4893AF5D">
      <w:pPr>
        <w:pStyle w:val="2"/>
        <w:rPr>
          <w:rFonts w:hint="eastAsia"/>
          <w:color w:val="auto"/>
          <w:sz w:val="28"/>
          <w:szCs w:val="28"/>
          <w:highlight w:val="none"/>
        </w:rPr>
      </w:pPr>
    </w:p>
    <w:p w14:paraId="7E828904">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三、报价单位资格要求</w:t>
      </w:r>
    </w:p>
    <w:p w14:paraId="40B32D78">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en-US" w:eastAsia="zh-CN"/>
        </w:rPr>
        <w:t>、经三都镇政府报备有效的交通艇。</w:t>
      </w:r>
    </w:p>
    <w:p w14:paraId="0A30AC60">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en-US" w:eastAsia="zh-CN"/>
        </w:rPr>
        <w:t>、交通艇需为报价公司管理的船舶。</w:t>
      </w:r>
    </w:p>
    <w:p w14:paraId="36F4337C">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、交通艇性能符合海上正常适航条件、配齐必要的防护、救生设备。</w:t>
      </w:r>
    </w:p>
    <w:p w14:paraId="50041DFB">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4、交通艇驾驶员需正规取证且证件在有效期内。</w:t>
      </w:r>
    </w:p>
    <w:p w14:paraId="66D11463">
      <w:pPr>
        <w:pStyle w:val="2"/>
        <w:rPr>
          <w:rFonts w:hint="eastAsia" w:eastAsia="方正报宋简体"/>
          <w:color w:val="auto"/>
          <w:sz w:val="28"/>
          <w:szCs w:val="28"/>
          <w:highlight w:val="none"/>
          <w:lang w:val="en-US" w:eastAsia="zh-CN"/>
        </w:rPr>
      </w:pPr>
      <w:r>
        <w:rPr>
          <w:rFonts w:hint="eastAsia"/>
          <w:color w:val="auto"/>
          <w:sz w:val="28"/>
          <w:szCs w:val="28"/>
          <w:highlight w:val="none"/>
          <w:lang w:val="en-US" w:eastAsia="zh-CN"/>
        </w:rPr>
        <w:t xml:space="preserve">    </w:t>
      </w:r>
    </w:p>
    <w:p w14:paraId="49B5C057">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四、报价单位报价规则</w:t>
      </w:r>
    </w:p>
    <w:p w14:paraId="1AA772C8">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1、单船进出港作业航线基础报价控制在1400元内。（按40</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权重计入综合评分）</w:t>
      </w:r>
    </w:p>
    <w:p w14:paraId="56FFD02B">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2、单日多船进出港作业往返航线报价，第二艘起按每增加一艘控制在300元内叠加报价。（按20权重计入综合评分）</w:t>
      </w:r>
    </w:p>
    <w:p w14:paraId="206B7623">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3、技术服务（按40</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权重计入综合评分）</w:t>
      </w:r>
    </w:p>
    <w:p w14:paraId="620A6F9F">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持有驾驶证的交通艇驾驶员、三都镇政府报备有效的交通艇数量，相关类似作业经验（熟悉当地海况、航道、渔业生产作业规律），提供本项目的相关服务方案（包括服务承诺、应急预案）及安全保证措施，听从作业指挥，具备较好的服务意识。</w:t>
      </w:r>
    </w:p>
    <w:p w14:paraId="5059D64E">
      <w:pPr>
        <w:pStyle w:val="2"/>
        <w:rPr>
          <w:rFonts w:hint="eastAsia"/>
          <w:color w:val="auto"/>
          <w:sz w:val="28"/>
          <w:szCs w:val="28"/>
          <w:highlight w:val="none"/>
          <w:lang w:val="en-US" w:eastAsia="zh-CN"/>
        </w:rPr>
      </w:pPr>
    </w:p>
    <w:p w14:paraId="0AE02454">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五、评标方法</w:t>
      </w:r>
    </w:p>
    <w:p w14:paraId="49637DD6">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非招标采购评审小组（以下称：评审小组）将根据以下评标办法和标准，对报价文件进行评审和比较： </w:t>
      </w:r>
    </w:p>
    <w:p w14:paraId="2A52B411">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评标采用综合评估法，评审小组将对通过资格及实质响应性审查的各合格报价单位，根据以下标准和方法进行综合评议并打分，汇总各项得分，计算出各合格报价单位的综合得分，并按各合格报价单位的综合得分从高到低依次进行排序。若该报价单位有相同综合得分的，则其中报价总价低的报价单位将被排序在前；若综合得分和报价总价仍相同，则其中技术服务部分得分高的报价单位将被排序在前；如前二者仍不能确定排序的，由评审小组表决决定。最后，评审小组将按照各合格报价单位综合得分排序，推荐综合得分最高的报价单位为中标候选人。评审小组推荐的中标候选人数为1个。</w:t>
      </w:r>
    </w:p>
    <w:p w14:paraId="6669D76F">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注：评审小组如发现某报价单位的报价明显低于其他报价，可能低于其个别成本的，将要求其作书面说明并提供相关证明材料。该报价单位如不能合理说明和提供相关材料证明其系非低于成本价竞标的，评审小组将认定其以低于成本价竞标，其报价作废标处理。</w:t>
      </w:r>
    </w:p>
    <w:p w14:paraId="3C4200ED">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（2）各部分评分分值分布如下：</w:t>
      </w:r>
    </w:p>
    <w:p w14:paraId="185D2748">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报价1部分   满分40分</w:t>
      </w:r>
    </w:p>
    <w:p w14:paraId="00BD0492">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报价2部分    满分20分</w:t>
      </w:r>
    </w:p>
    <w:p w14:paraId="4EEB8CC8">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技术服务部分  满分40分</w:t>
      </w:r>
    </w:p>
    <w:p w14:paraId="10416CFF">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综合得分：F＝报价1部分得分+报价2部分得分+技术服务部分得分</w:t>
      </w:r>
    </w:p>
    <w:p w14:paraId="5659CB4D">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（3）各部分评分办法和标准如下：</w:t>
      </w:r>
    </w:p>
    <w:p w14:paraId="3D03DB4B">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说明：报价单位应如实提供下述评标内容的相关证明文件、证书、承诺或说明等复印件并盖报价单位公章，未提供的内容不得分。评审过程中如发现填报不实，本项不得分。中标公示或合同签订中发现有弄虚作假的，取消其中标资格，并追究相应的法律责任和进行相应的赔偿。</w:t>
      </w:r>
    </w:p>
    <w:p w14:paraId="1F5274F5">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评分细则：</w:t>
      </w:r>
    </w:p>
    <w:tbl>
      <w:tblPr>
        <w:tblStyle w:val="3"/>
        <w:tblW w:w="9861"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739"/>
        <w:gridCol w:w="7641"/>
      </w:tblGrid>
      <w:tr w14:paraId="253F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81" w:type="dxa"/>
            <w:tcMar>
              <w:top w:w="0" w:type="dxa"/>
              <w:left w:w="108" w:type="dxa"/>
              <w:bottom w:w="0" w:type="dxa"/>
              <w:right w:w="108" w:type="dxa"/>
            </w:tcMar>
            <w:vAlign w:val="center"/>
          </w:tcPr>
          <w:p w14:paraId="5C3CF3FC">
            <w:pPr>
              <w:spacing w:line="560" w:lineRule="atLeast"/>
              <w:ind w:firstLine="210"/>
              <w:jc w:val="center"/>
              <w:rPr>
                <w:color w:val="000000"/>
                <w:sz w:val="28"/>
                <w:szCs w:val="28"/>
                <w:highlight w:val="none"/>
              </w:rPr>
            </w:pPr>
            <w:r>
              <w:rPr>
                <w:rFonts w:hint="eastAsia"/>
                <w:color w:val="000000"/>
                <w:sz w:val="28"/>
                <w:szCs w:val="28"/>
                <w:highlight w:val="none"/>
              </w:rPr>
              <w:t>项目</w:t>
            </w:r>
          </w:p>
        </w:tc>
        <w:tc>
          <w:tcPr>
            <w:tcW w:w="739" w:type="dxa"/>
            <w:tcMar>
              <w:top w:w="0" w:type="dxa"/>
              <w:left w:w="108" w:type="dxa"/>
              <w:bottom w:w="0" w:type="dxa"/>
              <w:right w:w="108" w:type="dxa"/>
            </w:tcMar>
            <w:vAlign w:val="center"/>
          </w:tcPr>
          <w:p w14:paraId="5C116695">
            <w:pPr>
              <w:spacing w:line="560" w:lineRule="atLeast"/>
              <w:jc w:val="center"/>
              <w:rPr>
                <w:color w:val="000000"/>
                <w:sz w:val="28"/>
                <w:szCs w:val="28"/>
                <w:highlight w:val="none"/>
              </w:rPr>
            </w:pPr>
            <w:r>
              <w:rPr>
                <w:rFonts w:hint="eastAsia"/>
                <w:color w:val="000000"/>
                <w:sz w:val="28"/>
                <w:szCs w:val="28"/>
                <w:highlight w:val="none"/>
              </w:rPr>
              <w:t>分值</w:t>
            </w:r>
          </w:p>
        </w:tc>
        <w:tc>
          <w:tcPr>
            <w:tcW w:w="7641" w:type="dxa"/>
            <w:tcMar>
              <w:top w:w="0" w:type="dxa"/>
              <w:left w:w="108" w:type="dxa"/>
              <w:bottom w:w="0" w:type="dxa"/>
              <w:right w:w="108" w:type="dxa"/>
            </w:tcMar>
          </w:tcPr>
          <w:p w14:paraId="3C010541">
            <w:pPr>
              <w:spacing w:line="560" w:lineRule="atLeast"/>
              <w:ind w:firstLine="480"/>
              <w:jc w:val="center"/>
              <w:rPr>
                <w:color w:val="000000"/>
                <w:sz w:val="28"/>
                <w:szCs w:val="28"/>
                <w:highlight w:val="none"/>
              </w:rPr>
            </w:pPr>
            <w:r>
              <w:rPr>
                <w:rFonts w:hint="eastAsia"/>
                <w:color w:val="000000"/>
                <w:sz w:val="28"/>
                <w:szCs w:val="28"/>
                <w:highlight w:val="none"/>
              </w:rPr>
              <w:t>具体评分项</w:t>
            </w:r>
          </w:p>
        </w:tc>
      </w:tr>
      <w:tr w14:paraId="67CE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trPr>
        <w:tc>
          <w:tcPr>
            <w:tcW w:w="1481" w:type="dxa"/>
            <w:tcMar>
              <w:top w:w="0" w:type="dxa"/>
              <w:left w:w="108" w:type="dxa"/>
              <w:bottom w:w="0" w:type="dxa"/>
              <w:right w:w="108" w:type="dxa"/>
            </w:tcMar>
            <w:vAlign w:val="center"/>
          </w:tcPr>
          <w:p w14:paraId="79E521D1">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报价1部分（一艘艇）：</w:t>
            </w:r>
          </w:p>
          <w:p w14:paraId="0C45D298">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w:t>
            </w:r>
            <w:r>
              <w:rPr>
                <w:rFonts w:hint="eastAsia" w:ascii="仿宋" w:hAnsi="仿宋" w:eastAsia="仿宋" w:cs="仿宋"/>
                <w:b/>
                <w:color w:val="000000"/>
                <w:sz w:val="28"/>
                <w:szCs w:val="28"/>
                <w:highlight w:val="none"/>
                <w:lang w:val="en-US" w:eastAsia="zh-CN"/>
              </w:rPr>
              <w:t>40</w:t>
            </w:r>
            <w:r>
              <w:rPr>
                <w:rFonts w:hint="eastAsia" w:ascii="仿宋" w:hAnsi="仿宋" w:eastAsia="仿宋" w:cs="仿宋"/>
                <w:b/>
                <w:color w:val="000000"/>
                <w:sz w:val="28"/>
                <w:szCs w:val="28"/>
                <w:highlight w:val="none"/>
              </w:rPr>
              <w:t>分）</w:t>
            </w:r>
          </w:p>
        </w:tc>
        <w:tc>
          <w:tcPr>
            <w:tcW w:w="739" w:type="dxa"/>
            <w:tcMar>
              <w:top w:w="0" w:type="dxa"/>
              <w:left w:w="108" w:type="dxa"/>
              <w:bottom w:w="0" w:type="dxa"/>
              <w:right w:w="108" w:type="dxa"/>
            </w:tcMar>
            <w:vAlign w:val="center"/>
          </w:tcPr>
          <w:p w14:paraId="282C422E">
            <w:pPr>
              <w:spacing w:line="560" w:lineRule="atLeast"/>
              <w:jc w:val="center"/>
              <w:rPr>
                <w:rFonts w:hint="default"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40</w:t>
            </w:r>
          </w:p>
        </w:tc>
        <w:tc>
          <w:tcPr>
            <w:tcW w:w="7641" w:type="dxa"/>
            <w:tcMar>
              <w:top w:w="0" w:type="dxa"/>
              <w:left w:w="108" w:type="dxa"/>
              <w:bottom w:w="0" w:type="dxa"/>
              <w:right w:w="108" w:type="dxa"/>
            </w:tcMar>
          </w:tcPr>
          <w:p w14:paraId="5873E363">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52"/>
                <w:szCs w:val="52"/>
                <w:highlight w:val="none"/>
                <w:vertAlign w:val="subscript"/>
              </w:rPr>
              <w:t>n</w:t>
            </w:r>
            <w:r>
              <w:rPr>
                <w:rFonts w:hint="eastAsia" w:ascii="仿宋" w:hAnsi="仿宋" w:eastAsia="仿宋" w:cs="仿宋"/>
                <w:color w:val="000000"/>
                <w:sz w:val="28"/>
                <w:szCs w:val="28"/>
                <w:highlight w:val="none"/>
              </w:rPr>
              <w:t>-B</w:t>
            </w:r>
            <w:r>
              <w:rPr>
                <w:rFonts w:hint="eastAsia" w:ascii="仿宋" w:hAnsi="仿宋" w:eastAsia="仿宋" w:cs="仿宋"/>
                <w:color w:val="000000"/>
                <w:sz w:val="36"/>
                <w:szCs w:val="36"/>
                <w:highlight w:val="none"/>
                <w:vertAlign w:val="subscript"/>
                <w:lang w:val="en-US" w:eastAsia="zh-CN"/>
              </w:rPr>
              <w:t>低</w:t>
            </w:r>
          </w:p>
          <w:p w14:paraId="093F7139">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A</w:t>
            </w:r>
            <w:r>
              <w:rPr>
                <w:rFonts w:hint="eastAsia" w:ascii="仿宋" w:hAnsi="仿宋" w:eastAsia="仿宋" w:cs="仿宋"/>
                <w:color w:val="000000"/>
                <w:sz w:val="60"/>
                <w:szCs w:val="60"/>
                <w:highlight w:val="none"/>
                <w:vertAlign w:val="subscript"/>
              </w:rPr>
              <w:t>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40</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 xml:space="preserve"> </w:t>
            </w:r>
            <w:r>
              <w:rPr>
                <w:rFonts w:hint="eastAsia" w:ascii="仿宋" w:hAnsi="仿宋" w:eastAsia="仿宋" w:cs="仿宋"/>
                <w:color w:val="000000"/>
                <w:sz w:val="28"/>
                <w:szCs w:val="28"/>
                <w:highlight w:val="none"/>
              </w:rPr>
              <w:t>———×100×Q</w:t>
            </w:r>
          </w:p>
          <w:p w14:paraId="3F48AFA7">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36"/>
                <w:szCs w:val="36"/>
                <w:highlight w:val="none"/>
                <w:vertAlign w:val="subscript"/>
                <w:lang w:val="en-US" w:eastAsia="zh-CN"/>
              </w:rPr>
              <w:t>低</w:t>
            </w:r>
            <w:r>
              <w:rPr>
                <w:rFonts w:hint="eastAsia" w:ascii="仿宋" w:hAnsi="仿宋" w:eastAsia="仿宋" w:cs="仿宋"/>
                <w:color w:val="000000"/>
                <w:sz w:val="28"/>
                <w:szCs w:val="28"/>
                <w:highlight w:val="none"/>
              </w:rPr>
              <w:t xml:space="preserve">       </w:t>
            </w:r>
          </w:p>
          <w:p w14:paraId="6EAC67F0">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式中：B</w:t>
            </w:r>
            <w:r>
              <w:rPr>
                <w:rFonts w:hint="eastAsia" w:ascii="仿宋" w:hAnsi="仿宋" w:eastAsia="仿宋" w:cs="仿宋"/>
                <w:color w:val="000000"/>
                <w:sz w:val="44"/>
                <w:szCs w:val="44"/>
                <w:highlight w:val="none"/>
                <w:vertAlign w:val="subscript"/>
              </w:rPr>
              <w:t>n</w:t>
            </w:r>
            <w:r>
              <w:rPr>
                <w:rFonts w:hint="eastAsia" w:ascii="仿宋" w:hAnsi="仿宋" w:eastAsia="仿宋" w:cs="仿宋"/>
                <w:color w:val="000000"/>
                <w:sz w:val="28"/>
                <w:szCs w:val="28"/>
                <w:highlight w:val="none"/>
              </w:rPr>
              <w:t>---各合格投标人的报价；</w:t>
            </w:r>
          </w:p>
          <w:p w14:paraId="183BB020">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28"/>
                <w:szCs w:val="28"/>
                <w:highlight w:val="none"/>
                <w:vertAlign w:val="subscript"/>
                <w:lang w:val="en-US" w:eastAsia="zh-CN"/>
              </w:rPr>
              <w:t>低</w:t>
            </w:r>
            <w:r>
              <w:rPr>
                <w:rFonts w:hint="eastAsia" w:ascii="仿宋" w:hAnsi="仿宋" w:eastAsia="仿宋" w:cs="仿宋"/>
                <w:color w:val="000000"/>
                <w:sz w:val="28"/>
                <w:szCs w:val="28"/>
                <w:highlight w:val="none"/>
              </w:rPr>
              <w:t>---各合格</w:t>
            </w:r>
            <w:r>
              <w:rPr>
                <w:rFonts w:hint="eastAsia" w:ascii="仿宋" w:hAnsi="仿宋" w:eastAsia="仿宋" w:cs="仿宋"/>
                <w:color w:val="000000"/>
                <w:sz w:val="28"/>
                <w:szCs w:val="28"/>
                <w:highlight w:val="none"/>
                <w:lang w:eastAsia="zh-CN"/>
              </w:rPr>
              <w:t>报价单位中的报价最低</w:t>
            </w:r>
            <w:r>
              <w:rPr>
                <w:rFonts w:hint="eastAsia" w:ascii="仿宋" w:hAnsi="仿宋" w:eastAsia="仿宋" w:cs="仿宋"/>
                <w:color w:val="000000"/>
                <w:sz w:val="28"/>
                <w:szCs w:val="28"/>
                <w:highlight w:val="none"/>
              </w:rPr>
              <w:t>值；</w:t>
            </w:r>
          </w:p>
          <w:p w14:paraId="4F5770D5">
            <w:pPr>
              <w:numPr>
                <w:ilvl w:val="0"/>
                <w:numId w:val="3"/>
              </w:numPr>
              <w:ind w:left="1560" w:leftChars="0" w:firstLine="0" w:firstLineChars="0"/>
              <w:rPr>
                <w:rFonts w:hint="eastAsia" w:ascii="仿宋" w:hAnsi="仿宋" w:eastAsia="仿宋" w:cs="仿宋"/>
                <w:sz w:val="28"/>
                <w:szCs w:val="28"/>
                <w:highlight w:val="none"/>
              </w:rPr>
            </w:pPr>
            <w:r>
              <w:rPr>
                <w:rFonts w:hint="eastAsia" w:ascii="仿宋" w:hAnsi="仿宋" w:eastAsia="仿宋" w:cs="仿宋"/>
                <w:color w:val="000000"/>
                <w:sz w:val="28"/>
                <w:szCs w:val="28"/>
                <w:highlight w:val="none"/>
              </w:rPr>
              <w:t>--权重系数，Q=0.</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w:t>
            </w:r>
          </w:p>
        </w:tc>
      </w:tr>
      <w:tr w14:paraId="1DDA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1481" w:type="dxa"/>
            <w:tcMar>
              <w:top w:w="0" w:type="dxa"/>
              <w:left w:w="108" w:type="dxa"/>
              <w:bottom w:w="0" w:type="dxa"/>
              <w:right w:w="108" w:type="dxa"/>
            </w:tcMar>
            <w:vAlign w:val="center"/>
          </w:tcPr>
          <w:p w14:paraId="623F8A78">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报价2部分（从第二艘开始，每增加一艘报价）：</w:t>
            </w:r>
          </w:p>
          <w:p w14:paraId="6B62EFE3">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w:t>
            </w:r>
            <w:r>
              <w:rPr>
                <w:rFonts w:hint="eastAsia" w:ascii="仿宋" w:hAnsi="仿宋" w:eastAsia="仿宋" w:cs="仿宋"/>
                <w:b/>
                <w:color w:val="000000"/>
                <w:sz w:val="28"/>
                <w:szCs w:val="28"/>
                <w:highlight w:val="none"/>
                <w:lang w:val="en-US" w:eastAsia="zh-CN"/>
              </w:rPr>
              <w:t>20</w:t>
            </w:r>
            <w:r>
              <w:rPr>
                <w:rFonts w:hint="eastAsia" w:ascii="仿宋" w:hAnsi="仿宋" w:eastAsia="仿宋" w:cs="仿宋"/>
                <w:b/>
                <w:color w:val="000000"/>
                <w:sz w:val="28"/>
                <w:szCs w:val="28"/>
                <w:highlight w:val="none"/>
              </w:rPr>
              <w:t>分）</w:t>
            </w:r>
          </w:p>
        </w:tc>
        <w:tc>
          <w:tcPr>
            <w:tcW w:w="739" w:type="dxa"/>
            <w:tcMar>
              <w:top w:w="0" w:type="dxa"/>
              <w:left w:w="108" w:type="dxa"/>
              <w:bottom w:w="0" w:type="dxa"/>
              <w:right w:w="108" w:type="dxa"/>
            </w:tcMar>
            <w:vAlign w:val="center"/>
          </w:tcPr>
          <w:p w14:paraId="10159747">
            <w:pPr>
              <w:spacing w:line="560" w:lineRule="atLeast"/>
              <w:jc w:val="center"/>
              <w:rPr>
                <w:rFonts w:hint="default"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20</w:t>
            </w:r>
          </w:p>
        </w:tc>
        <w:tc>
          <w:tcPr>
            <w:tcW w:w="7641" w:type="dxa"/>
            <w:tcMar>
              <w:top w:w="0" w:type="dxa"/>
              <w:left w:w="108" w:type="dxa"/>
              <w:bottom w:w="0" w:type="dxa"/>
              <w:right w:w="108" w:type="dxa"/>
            </w:tcMar>
          </w:tcPr>
          <w:p w14:paraId="769894E0">
            <w:pPr>
              <w:pStyle w:val="2"/>
              <w:rPr>
                <w:rFonts w:hint="eastAsia" w:ascii="仿宋" w:hAnsi="仿宋" w:eastAsia="仿宋" w:cs="仿宋"/>
                <w:sz w:val="28"/>
                <w:szCs w:val="28"/>
                <w:highlight w:val="none"/>
              </w:rPr>
            </w:pPr>
          </w:p>
          <w:p w14:paraId="2D69FB12">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44"/>
                <w:szCs w:val="44"/>
                <w:highlight w:val="none"/>
                <w:vertAlign w:val="subscript"/>
              </w:rPr>
              <w:t>n</w:t>
            </w:r>
            <w:r>
              <w:rPr>
                <w:rFonts w:hint="eastAsia" w:ascii="仿宋" w:hAnsi="仿宋" w:eastAsia="仿宋" w:cs="仿宋"/>
                <w:color w:val="000000"/>
                <w:sz w:val="28"/>
                <w:szCs w:val="28"/>
                <w:highlight w:val="none"/>
              </w:rPr>
              <w:t>-B</w:t>
            </w:r>
            <w:r>
              <w:rPr>
                <w:rFonts w:hint="eastAsia" w:ascii="仿宋" w:hAnsi="仿宋" w:eastAsia="仿宋" w:cs="仿宋"/>
                <w:color w:val="000000"/>
                <w:sz w:val="36"/>
                <w:szCs w:val="36"/>
                <w:highlight w:val="none"/>
                <w:vertAlign w:val="subscript"/>
                <w:lang w:val="en-US" w:eastAsia="zh-CN"/>
              </w:rPr>
              <w:t>低</w:t>
            </w:r>
          </w:p>
          <w:p w14:paraId="46CA9E0C">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A</w:t>
            </w:r>
            <w:r>
              <w:rPr>
                <w:rFonts w:hint="eastAsia" w:ascii="仿宋" w:hAnsi="仿宋" w:eastAsia="仿宋" w:cs="仿宋"/>
                <w:color w:val="000000"/>
                <w:sz w:val="60"/>
                <w:szCs w:val="60"/>
                <w:highlight w:val="none"/>
                <w:vertAlign w:val="subscript"/>
              </w:rPr>
              <w:t>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20</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 xml:space="preserve"> </w:t>
            </w:r>
            <w:r>
              <w:rPr>
                <w:rFonts w:hint="eastAsia" w:ascii="仿宋" w:hAnsi="仿宋" w:eastAsia="仿宋" w:cs="仿宋"/>
                <w:color w:val="000000"/>
                <w:sz w:val="28"/>
                <w:szCs w:val="28"/>
                <w:highlight w:val="none"/>
              </w:rPr>
              <w:t>———×100×Q</w:t>
            </w:r>
          </w:p>
          <w:p w14:paraId="5A5ED21B">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36"/>
                <w:szCs w:val="36"/>
                <w:highlight w:val="none"/>
                <w:vertAlign w:val="subscript"/>
                <w:lang w:val="en-US" w:eastAsia="zh-CN"/>
              </w:rPr>
              <w:t>低</w:t>
            </w:r>
            <w:r>
              <w:rPr>
                <w:rFonts w:hint="eastAsia" w:ascii="仿宋" w:hAnsi="仿宋" w:eastAsia="仿宋" w:cs="仿宋"/>
                <w:color w:val="000000"/>
                <w:sz w:val="28"/>
                <w:szCs w:val="28"/>
                <w:highlight w:val="none"/>
              </w:rPr>
              <w:t xml:space="preserve">       </w:t>
            </w:r>
          </w:p>
          <w:p w14:paraId="617D5808">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式中：Bn---各合格投标人的报价；</w:t>
            </w:r>
          </w:p>
          <w:p w14:paraId="71EA9AF7">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B</w:t>
            </w:r>
            <w:r>
              <w:rPr>
                <w:rFonts w:hint="eastAsia" w:ascii="仿宋" w:hAnsi="仿宋" w:eastAsia="仿宋" w:cs="仿宋"/>
                <w:color w:val="000000"/>
                <w:sz w:val="36"/>
                <w:szCs w:val="36"/>
                <w:highlight w:val="none"/>
                <w:vertAlign w:val="subscript"/>
                <w:lang w:val="en-US" w:eastAsia="zh-CN"/>
              </w:rPr>
              <w:t>低</w:t>
            </w:r>
            <w:r>
              <w:rPr>
                <w:rFonts w:hint="eastAsia" w:ascii="仿宋" w:hAnsi="仿宋" w:eastAsia="仿宋" w:cs="仿宋"/>
                <w:color w:val="000000"/>
                <w:sz w:val="28"/>
                <w:szCs w:val="28"/>
                <w:highlight w:val="none"/>
              </w:rPr>
              <w:t>---各合格</w:t>
            </w:r>
            <w:r>
              <w:rPr>
                <w:rFonts w:hint="eastAsia" w:ascii="仿宋" w:hAnsi="仿宋" w:eastAsia="仿宋" w:cs="仿宋"/>
                <w:color w:val="000000"/>
                <w:sz w:val="28"/>
                <w:szCs w:val="28"/>
                <w:highlight w:val="none"/>
                <w:lang w:eastAsia="zh-CN"/>
              </w:rPr>
              <w:t>报价单位中的报价最低</w:t>
            </w:r>
            <w:r>
              <w:rPr>
                <w:rFonts w:hint="eastAsia" w:ascii="仿宋" w:hAnsi="仿宋" w:eastAsia="仿宋" w:cs="仿宋"/>
                <w:color w:val="000000"/>
                <w:sz w:val="28"/>
                <w:szCs w:val="28"/>
                <w:highlight w:val="none"/>
              </w:rPr>
              <w:t>值；</w:t>
            </w:r>
          </w:p>
          <w:p w14:paraId="458C8146">
            <w:pPr>
              <w:ind w:firstLine="720"/>
              <w:rPr>
                <w:rFonts w:hint="eastAsia" w:ascii="仿宋" w:hAnsi="仿宋" w:eastAsia="仿宋" w:cs="仿宋"/>
                <w:sz w:val="28"/>
                <w:szCs w:val="28"/>
                <w:highlight w:val="none"/>
                <w:lang w:val="en-US" w:eastAsia="zh-CN"/>
              </w:rPr>
            </w:pPr>
            <w:r>
              <w:rPr>
                <w:rFonts w:hint="eastAsia" w:ascii="仿宋" w:hAnsi="仿宋" w:eastAsia="仿宋" w:cs="仿宋"/>
                <w:color w:val="000000"/>
                <w:sz w:val="28"/>
                <w:szCs w:val="28"/>
                <w:highlight w:val="none"/>
              </w:rPr>
              <w:t xml:space="preserve">      Q---权重系数，Q=0.</w:t>
            </w:r>
            <w:r>
              <w:rPr>
                <w:rFonts w:hint="eastAsia" w:ascii="仿宋" w:hAnsi="仿宋" w:eastAsia="仿宋" w:cs="仿宋"/>
                <w:color w:val="000000"/>
                <w:sz w:val="28"/>
                <w:szCs w:val="28"/>
                <w:highlight w:val="none"/>
                <w:lang w:val="en-US" w:eastAsia="zh-CN"/>
              </w:rPr>
              <w:t>1。</w:t>
            </w:r>
            <w:r>
              <w:rPr>
                <w:rFonts w:hint="eastAsia" w:ascii="仿宋" w:hAnsi="仿宋" w:eastAsia="仿宋" w:cs="仿宋"/>
                <w:sz w:val="28"/>
                <w:szCs w:val="28"/>
                <w:highlight w:val="none"/>
                <w:lang w:val="en-US" w:eastAsia="zh-CN"/>
              </w:rPr>
              <w:t xml:space="preserve"> </w:t>
            </w:r>
          </w:p>
          <w:p w14:paraId="217E7F49">
            <w:pPr>
              <w:pStyle w:val="2"/>
              <w:rPr>
                <w:rFonts w:hint="eastAsia" w:ascii="仿宋" w:hAnsi="仿宋" w:eastAsia="仿宋" w:cs="仿宋"/>
                <w:sz w:val="28"/>
                <w:szCs w:val="28"/>
                <w:highlight w:val="none"/>
              </w:rPr>
            </w:pPr>
          </w:p>
        </w:tc>
      </w:tr>
      <w:tr w14:paraId="2A01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481" w:type="dxa"/>
            <w:vMerge w:val="restart"/>
            <w:tcMar>
              <w:top w:w="0" w:type="dxa"/>
              <w:left w:w="108" w:type="dxa"/>
              <w:bottom w:w="0" w:type="dxa"/>
              <w:right w:w="108" w:type="dxa"/>
            </w:tcMar>
            <w:vAlign w:val="center"/>
          </w:tcPr>
          <w:p w14:paraId="4A3ADD1F">
            <w:pPr>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技术服务</w:t>
            </w:r>
          </w:p>
          <w:p w14:paraId="03E32399">
            <w:pPr>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部分</w:t>
            </w:r>
          </w:p>
          <w:p w14:paraId="2795E663">
            <w:pPr>
              <w:jc w:val="center"/>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（40分）</w:t>
            </w:r>
          </w:p>
        </w:tc>
        <w:tc>
          <w:tcPr>
            <w:tcW w:w="739" w:type="dxa"/>
            <w:tcMar>
              <w:top w:w="0" w:type="dxa"/>
              <w:left w:w="108" w:type="dxa"/>
              <w:bottom w:w="0" w:type="dxa"/>
              <w:right w:w="108" w:type="dxa"/>
            </w:tcMar>
            <w:vAlign w:val="center"/>
          </w:tcPr>
          <w:p w14:paraId="48DEAD7A">
            <w:pPr>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25</w:t>
            </w:r>
          </w:p>
        </w:tc>
        <w:tc>
          <w:tcPr>
            <w:tcW w:w="7641" w:type="dxa"/>
            <w:tcMar>
              <w:top w:w="0" w:type="dxa"/>
              <w:left w:w="108" w:type="dxa"/>
              <w:bottom w:w="0" w:type="dxa"/>
              <w:right w:w="108" w:type="dxa"/>
            </w:tcMar>
            <w:vAlign w:val="center"/>
          </w:tcPr>
          <w:p w14:paraId="6B376FF6">
            <w:pPr>
              <w:ind w:firstLine="560" w:firstLineChars="200"/>
              <w:jc w:val="left"/>
              <w:rPr>
                <w:rFonts w:hint="eastAsia" w:ascii="仿宋" w:hAnsi="仿宋" w:eastAsia="仿宋" w:cs="仿宋"/>
                <w:color w:val="000000"/>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评审小组</w:t>
            </w:r>
            <w:r>
              <w:rPr>
                <w:rFonts w:hint="eastAsia" w:ascii="仿宋" w:hAnsi="仿宋" w:eastAsia="仿宋" w:cs="仿宋"/>
                <w:color w:val="000000"/>
                <w:sz w:val="28"/>
                <w:szCs w:val="28"/>
                <w:highlight w:val="none"/>
                <w:lang w:val="en-US" w:eastAsia="zh-CN"/>
              </w:rPr>
              <w:t>根据报价单位在满足招标文件的基础上，根据实际需求，由报价单位提供针对本项目的人员配备情况、交通艇配备情况、所需证件配置数量进行评分：</w:t>
            </w:r>
          </w:p>
          <w:p w14:paraId="1D5034B8">
            <w:pPr>
              <w:ind w:firstLine="280" w:firstLineChars="1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（1）报价单位具有交通艇驾驶证，且在有效期内，提供1本得1分，提供2本得2分，满分2分。</w:t>
            </w:r>
          </w:p>
          <w:p w14:paraId="0C09BF7F">
            <w:pPr>
              <w:ind w:firstLine="280" w:firstLineChars="1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（2）报价单位具有三都镇政府报备有效的交通艇，提供1艘得1分，提供2艘得2分，满分2分。</w:t>
            </w:r>
          </w:p>
          <w:p w14:paraId="3B2DBB20">
            <w:pPr>
              <w:ind w:firstLine="280" w:firstLineChars="1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（3）提供具有相关类似作业经验（熟悉当地海况、航道）证明时间达1年得1分，相关经验达2年得2分，相关经验达3年及3年以上得5分，相关经验达5年及5年以上得10分，满分10分。</w:t>
            </w:r>
          </w:p>
          <w:p w14:paraId="2FF69F13">
            <w:pPr>
              <w:ind w:firstLine="280" w:firstLineChars="100"/>
              <w:jc w:val="left"/>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（4）报价单位提供今后服务于我司的专职快艇驾驶员相关资质材料、个人履历和保障海上作业安全的物品清单及说明。满分6分。</w:t>
            </w:r>
          </w:p>
          <w:p w14:paraId="1E756F17">
            <w:pPr>
              <w:ind w:firstLine="280" w:firstLineChars="100"/>
              <w:jc w:val="left"/>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（5）提供本次主要服务快艇购买主机凭证及近一年保养记录，满分5分。</w:t>
            </w:r>
          </w:p>
        </w:tc>
      </w:tr>
      <w:tr w14:paraId="275A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4" w:hRule="atLeast"/>
        </w:trPr>
        <w:tc>
          <w:tcPr>
            <w:tcW w:w="1481" w:type="dxa"/>
            <w:vMerge w:val="continue"/>
            <w:tcMar>
              <w:top w:w="0" w:type="dxa"/>
              <w:left w:w="108" w:type="dxa"/>
              <w:bottom w:w="0" w:type="dxa"/>
              <w:right w:w="108" w:type="dxa"/>
            </w:tcMar>
            <w:vAlign w:val="center"/>
          </w:tcPr>
          <w:p w14:paraId="2DF457AE">
            <w:pPr>
              <w:rPr>
                <w:rFonts w:hint="eastAsia" w:ascii="仿宋" w:hAnsi="仿宋" w:eastAsia="仿宋" w:cs="仿宋"/>
                <w:color w:val="000000"/>
                <w:sz w:val="28"/>
                <w:szCs w:val="28"/>
                <w:highlight w:val="none"/>
              </w:rPr>
            </w:pPr>
          </w:p>
        </w:tc>
        <w:tc>
          <w:tcPr>
            <w:tcW w:w="739" w:type="dxa"/>
            <w:tcMar>
              <w:top w:w="0" w:type="dxa"/>
              <w:left w:w="108" w:type="dxa"/>
              <w:bottom w:w="0" w:type="dxa"/>
              <w:right w:w="108" w:type="dxa"/>
            </w:tcMar>
            <w:vAlign w:val="center"/>
          </w:tcPr>
          <w:p w14:paraId="687BBE1B">
            <w:pPr>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15</w:t>
            </w:r>
          </w:p>
        </w:tc>
        <w:tc>
          <w:tcPr>
            <w:tcW w:w="7641" w:type="dxa"/>
            <w:tcMar>
              <w:top w:w="0" w:type="dxa"/>
              <w:left w:w="108" w:type="dxa"/>
              <w:bottom w:w="0" w:type="dxa"/>
              <w:right w:w="108" w:type="dxa"/>
            </w:tcMar>
          </w:tcPr>
          <w:p w14:paraId="69E31DE9">
            <w:pPr>
              <w:ind w:firstLine="560" w:firstLineChars="200"/>
              <w:jc w:val="both"/>
              <w:rPr>
                <w:rFonts w:hint="eastAsia" w:ascii="仿宋" w:hAnsi="仿宋" w:eastAsia="仿宋" w:cs="仿宋"/>
                <w:color w:val="000000"/>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评审小组</w:t>
            </w:r>
            <w:r>
              <w:rPr>
                <w:rFonts w:hint="eastAsia" w:ascii="仿宋" w:hAnsi="仿宋" w:eastAsia="仿宋" w:cs="仿宋"/>
                <w:color w:val="000000"/>
                <w:sz w:val="28"/>
                <w:szCs w:val="28"/>
                <w:highlight w:val="none"/>
                <w:lang w:val="en-US" w:eastAsia="zh-CN"/>
              </w:rPr>
              <w:t>根据报价单位对本项目提出的服务方案（包括服务承诺、应急预案）及安全保证措施等进行评分：</w:t>
            </w:r>
          </w:p>
          <w:p w14:paraId="42B4DC5D">
            <w:pPr>
              <w:numPr>
                <w:ilvl w:val="0"/>
                <w:numId w:val="4"/>
              </w:numPr>
              <w:ind w:firstLine="280" w:firstLineChars="10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服务方案及安全保证措施详细、适用、有针对性和可操作性，可以高效保障和服务效率的得15分；</w:t>
            </w:r>
          </w:p>
          <w:p w14:paraId="0E567911">
            <w:pPr>
              <w:numPr>
                <w:ilvl w:val="0"/>
                <w:numId w:val="4"/>
              </w:numPr>
              <w:ind w:firstLine="280" w:firstLineChars="10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服务方案及安全保证措施较为详细，具备一定的适用性和针对性，可操作性基本满足要求，但在高效保障和服务效率方面存在不足的得10分；</w:t>
            </w:r>
          </w:p>
          <w:p w14:paraId="528D3425">
            <w:pPr>
              <w:ind w:firstLine="280" w:firstLineChars="10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（3）服务方案及安全保证措施一般，基本满足要求的得5分；</w:t>
            </w:r>
          </w:p>
          <w:p w14:paraId="183E3CC1">
            <w:pPr>
              <w:ind w:firstLine="280" w:firstLineChars="100"/>
              <w:jc w:val="both"/>
              <w:rPr>
                <w:rFonts w:hint="eastAsia" w:ascii="仿宋" w:hAnsi="仿宋" w:eastAsia="仿宋" w:cs="仿宋"/>
                <w:bCs/>
                <w:color w:val="000000"/>
                <w:sz w:val="28"/>
                <w:szCs w:val="28"/>
                <w:highlight w:val="none"/>
                <w:lang w:val="en-US"/>
              </w:rPr>
            </w:pPr>
            <w:r>
              <w:rPr>
                <w:rFonts w:hint="eastAsia" w:ascii="仿宋" w:hAnsi="仿宋" w:eastAsia="仿宋" w:cs="仿宋"/>
                <w:color w:val="000000"/>
                <w:sz w:val="28"/>
                <w:szCs w:val="28"/>
                <w:highlight w:val="none"/>
                <w:lang w:val="en-US" w:eastAsia="zh-CN"/>
              </w:rPr>
              <w:t>（4）无服务方案或者安全保证措施较差的得0分；</w:t>
            </w:r>
          </w:p>
        </w:tc>
      </w:tr>
    </w:tbl>
    <w:p w14:paraId="317977EA">
      <w:pPr>
        <w:rPr>
          <w:highlight w:val="none"/>
        </w:rPr>
      </w:pPr>
    </w:p>
    <w:p w14:paraId="7EA106CB">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firstLine="640" w:firstLineChars="200"/>
        <w:textAlignment w:val="auto"/>
        <w:rPr>
          <w:rFonts w:hint="eastAsia" w:ascii="仿宋_GB2312" w:hAnsi="仿宋_GB2312" w:eastAsia="仿宋_GB2312" w:cs="仿宋_GB2312"/>
          <w:sz w:val="32"/>
          <w:szCs w:val="32"/>
          <w:highlight w:val="none"/>
          <w:lang w:val="en-US" w:eastAsia="zh-CN"/>
        </w:rPr>
      </w:pPr>
    </w:p>
    <w:p w14:paraId="79ADF10F">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32"/>
          <w:szCs w:val="32"/>
          <w:highlight w:val="none"/>
          <w:lang w:val="en-US" w:eastAsia="zh-CN"/>
        </w:rPr>
      </w:pPr>
    </w:p>
    <w:p w14:paraId="3E315C47">
      <w:pPr>
        <w:keepNext w:val="0"/>
        <w:keepLines w:val="0"/>
        <w:pageBreakBefore w:val="0"/>
        <w:widowControl w:val="0"/>
        <w:kinsoku/>
        <w:wordWrap/>
        <w:overflowPunct/>
        <w:topLinePunct w:val="0"/>
        <w:autoSpaceDE/>
        <w:autoSpaceDN/>
        <w:bidi w:val="0"/>
        <w:adjustRightInd/>
        <w:snapToGrid w:val="0"/>
        <w:spacing w:line="100" w:lineRule="atLeast"/>
        <w:jc w:val="righ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宁德外轮代理有限公司</w:t>
      </w:r>
    </w:p>
    <w:p w14:paraId="689D74FB">
      <w:pPr>
        <w:keepNext w:val="0"/>
        <w:keepLines w:val="0"/>
        <w:pageBreakBefore w:val="0"/>
        <w:widowControl w:val="0"/>
        <w:kinsoku/>
        <w:wordWrap/>
        <w:overflowPunct/>
        <w:topLinePunct w:val="0"/>
        <w:autoSpaceDE/>
        <w:autoSpaceDN/>
        <w:bidi w:val="0"/>
        <w:adjustRightInd/>
        <w:snapToGrid w:val="0"/>
        <w:spacing w:line="100" w:lineRule="atLeast"/>
        <w:jc w:val="righ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2025年04月21日</w:t>
      </w:r>
    </w:p>
    <w:p w14:paraId="220B8F00">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32"/>
          <w:szCs w:val="32"/>
          <w:highlight w:val="none"/>
          <w:lang w:val="en-US" w:eastAsia="zh-CN"/>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报宋简体">
    <w:altName w:val="宋体"/>
    <w:panose1 w:val="00000000000000000000"/>
    <w:charset w:val="86"/>
    <w:family w:val="modern"/>
    <w:pitch w:val="default"/>
    <w:sig w:usb0="00000000" w:usb1="00000000" w:usb2="00000010" w:usb3="00000000" w:csb0="00040000"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7A2A3"/>
    <w:multiLevelType w:val="singleLevel"/>
    <w:tmpl w:val="E827A2A3"/>
    <w:lvl w:ilvl="0" w:tentative="0">
      <w:start w:val="17"/>
      <w:numFmt w:val="upperLetter"/>
      <w:suff w:val="nothing"/>
      <w:lvlText w:val="%1-"/>
      <w:lvlJc w:val="left"/>
      <w:pPr>
        <w:ind w:left="1560" w:leftChars="0" w:firstLine="0" w:firstLineChars="0"/>
      </w:pPr>
    </w:lvl>
  </w:abstractNum>
  <w:abstractNum w:abstractNumId="1">
    <w:nsid w:val="00000000"/>
    <w:multiLevelType w:val="singleLevel"/>
    <w:tmpl w:val="00000000"/>
    <w:lvl w:ilvl="0" w:tentative="0">
      <w:start w:val="2"/>
      <w:numFmt w:val="decimal"/>
      <w:suff w:val="space"/>
      <w:lvlText w:val="(%1)"/>
      <w:lvlJc w:val="left"/>
      <w:pPr>
        <w:ind w:left="560" w:leftChars="0" w:firstLine="0" w:firstLineChars="0"/>
      </w:pPr>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1EA6FB2A"/>
    <w:multiLevelType w:val="singleLevel"/>
    <w:tmpl w:val="1EA6FB2A"/>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ZDcyNjhlMGY3OGZlOTY3MTcwOGRkYjFiZGJiMWUifQ=="/>
  </w:docVars>
  <w:rsids>
    <w:rsidRoot w:val="00000000"/>
    <w:rsid w:val="096F07A6"/>
    <w:rsid w:val="0980196C"/>
    <w:rsid w:val="0C517711"/>
    <w:rsid w:val="0E894E47"/>
    <w:rsid w:val="10E5667A"/>
    <w:rsid w:val="12723F3D"/>
    <w:rsid w:val="12C22387"/>
    <w:rsid w:val="18711035"/>
    <w:rsid w:val="1C194FD6"/>
    <w:rsid w:val="1D920D8E"/>
    <w:rsid w:val="1EB73145"/>
    <w:rsid w:val="1F4C2DA3"/>
    <w:rsid w:val="20315438"/>
    <w:rsid w:val="204A5E23"/>
    <w:rsid w:val="21025026"/>
    <w:rsid w:val="220E02AA"/>
    <w:rsid w:val="22F8048F"/>
    <w:rsid w:val="23160915"/>
    <w:rsid w:val="232565EF"/>
    <w:rsid w:val="256376A5"/>
    <w:rsid w:val="27D21D35"/>
    <w:rsid w:val="2A7E39B8"/>
    <w:rsid w:val="2D3D2D26"/>
    <w:rsid w:val="2DF279FA"/>
    <w:rsid w:val="32755658"/>
    <w:rsid w:val="368A71F8"/>
    <w:rsid w:val="39B0341A"/>
    <w:rsid w:val="3B4E3123"/>
    <w:rsid w:val="3C017F5D"/>
    <w:rsid w:val="3F4C4481"/>
    <w:rsid w:val="415E6EB8"/>
    <w:rsid w:val="45CA13BF"/>
    <w:rsid w:val="496A12EC"/>
    <w:rsid w:val="499A360F"/>
    <w:rsid w:val="4A25451D"/>
    <w:rsid w:val="4B940429"/>
    <w:rsid w:val="4BEA68EB"/>
    <w:rsid w:val="4D236437"/>
    <w:rsid w:val="4FE65048"/>
    <w:rsid w:val="50DD2FA7"/>
    <w:rsid w:val="538524A3"/>
    <w:rsid w:val="54D749C7"/>
    <w:rsid w:val="594A4899"/>
    <w:rsid w:val="59EE6C20"/>
    <w:rsid w:val="5AB66870"/>
    <w:rsid w:val="5E0E086E"/>
    <w:rsid w:val="5E341D32"/>
    <w:rsid w:val="60190F66"/>
    <w:rsid w:val="60496758"/>
    <w:rsid w:val="64D128B9"/>
    <w:rsid w:val="694251E2"/>
    <w:rsid w:val="6C4258A4"/>
    <w:rsid w:val="70573C42"/>
    <w:rsid w:val="70DA5D42"/>
    <w:rsid w:val="722169B9"/>
    <w:rsid w:val="74744A68"/>
    <w:rsid w:val="75265D63"/>
    <w:rsid w:val="7879089F"/>
    <w:rsid w:val="7A88301C"/>
    <w:rsid w:val="7AD731E7"/>
    <w:rsid w:val="7CE141C2"/>
    <w:rsid w:val="7D663F42"/>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qFormat/>
    <w:uiPriority w:val="1"/>
  </w:style>
  <w:style w:type="table" w:default="1" w:styleId="3">
    <w:name w:val="Normal Table"/>
    <w:autoRedefine/>
    <w:qFormat/>
    <w:uiPriority w:val="99"/>
    <w:tblPr>
      <w:tblCellMar>
        <w:top w:w="0" w:type="dxa"/>
        <w:left w:w="108" w:type="dxa"/>
        <w:bottom w:w="0" w:type="dxa"/>
        <w:right w:w="108" w:type="dxa"/>
      </w:tblCellMar>
    </w:tblPr>
  </w:style>
  <w:style w:type="paragraph" w:styleId="2">
    <w:name w:val="Block Text"/>
    <w:basedOn w:val="1"/>
    <w:autoRedefine/>
    <w:qFormat/>
    <w:uiPriority w:val="0"/>
    <w:pPr>
      <w:spacing w:line="300" w:lineRule="exact"/>
      <w:ind w:left="420" w:right="-624" w:hanging="420"/>
    </w:pPr>
    <w:rPr>
      <w:rFonts w:ascii="方正报宋简体" w:eastAsia="方正报宋简体"/>
      <w:szCs w:val="20"/>
    </w:r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1912</Words>
  <Characters>1993</Characters>
  <Paragraphs>89</Paragraphs>
  <TotalTime>6</TotalTime>
  <ScaleCrop>false</ScaleCrop>
  <LinksUpToDate>false</LinksUpToDate>
  <CharactersWithSpaces>2120</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2024-04-07T02:09:00Z</dcterms:created>
  <dc:creator>2201122C</dc:creator>
  <cp:lastModifiedBy>H3C</cp:lastModifiedBy>
  <cp:lastPrinted>2025-04-21T03:41:00Z</cp:lastPrinted>
  <dcterms:modified xsi:type="dcterms:W3CDTF">2025-04-23T03:27:39Z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2482FC7A31DF43F98B7370A64BC9F1E7_13</vt:lpwstr>
  </property>
  <property fmtid="{D5CDD505-2E9C-101B-9397-08002B2CF9AE}" pid="3" name="KSOProductBuildVer">
    <vt:lpwstr>2052-12.1.0.20784</vt:lpwstr>
  </property>
  <property fmtid="{D5CDD505-2E9C-101B-9397-08002B2CF9AE}" pid="4" name="KSOTemplateDocerSaveRecord">
    <vt:lpwstr>eyJoZGlkIjoiYmE3NTE4N2ZhNDVmZWUwZmE4OGY5ZWY0ZDBmOGQ4NGQiLCJ1c2VySWQiOiIzODA0OTM0NDcifQ==</vt:lpwstr>
  </property>
</Properties>
</file>