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default" w:ascii="Times New Roman" w:hAnsi="Times New Roman" w:eastAsia="宋体" w:cs="Times New Roman"/>
          <w:color w:val="373535"/>
          <w:sz w:val="48"/>
          <w:szCs w:val="48"/>
        </w:rPr>
      </w:pPr>
    </w:p>
    <w:p>
      <w:pPr>
        <w:spacing w:line="480" w:lineRule="auto"/>
        <w:jc w:val="center"/>
        <w:rPr>
          <w:rFonts w:hint="default" w:ascii="Times New Roman" w:hAnsi="Times New Roman" w:eastAsia="宋体" w:cs="Times New Roman"/>
          <w:color w:val="373535"/>
          <w:sz w:val="48"/>
          <w:szCs w:val="48"/>
        </w:rPr>
      </w:pPr>
    </w:p>
    <w:p>
      <w:pPr>
        <w:spacing w:line="480" w:lineRule="auto"/>
        <w:jc w:val="center"/>
        <w:rPr>
          <w:rFonts w:hint="default" w:ascii="Times New Roman" w:hAnsi="Times New Roman" w:eastAsia="宋体" w:cs="Times New Roman"/>
          <w:color w:val="373535"/>
          <w:sz w:val="48"/>
          <w:szCs w:val="48"/>
        </w:rPr>
      </w:pPr>
    </w:p>
    <w:p>
      <w:pPr>
        <w:spacing w:line="480" w:lineRule="auto"/>
        <w:jc w:val="center"/>
        <w:rPr>
          <w:rFonts w:hint="default" w:ascii="Times New Roman" w:hAnsi="Times New Roman" w:eastAsia="宋体" w:cs="Times New Roman"/>
          <w:b/>
          <w:bCs/>
          <w:color w:val="373535"/>
          <w:sz w:val="48"/>
          <w:szCs w:val="48"/>
        </w:rPr>
      </w:pPr>
      <w:r>
        <w:rPr>
          <w:rFonts w:hint="default" w:ascii="Times New Roman" w:hAnsi="Times New Roman" w:eastAsia="宋体" w:cs="Times New Roman"/>
          <w:b/>
          <w:bCs/>
          <w:color w:val="373535"/>
          <w:sz w:val="48"/>
          <w:szCs w:val="48"/>
        </w:rPr>
        <w:t>福州港三都澳港区漳湾作业区</w:t>
      </w:r>
    </w:p>
    <w:p>
      <w:pPr>
        <w:spacing w:line="480" w:lineRule="auto"/>
        <w:jc w:val="center"/>
        <w:rPr>
          <w:rFonts w:hint="default" w:ascii="Times New Roman" w:hAnsi="Times New Roman" w:eastAsia="宋体" w:cs="Times New Roman"/>
          <w:b/>
          <w:bCs/>
          <w:color w:val="373535"/>
          <w:sz w:val="48"/>
          <w:szCs w:val="48"/>
        </w:rPr>
      </w:pPr>
    </w:p>
    <w:p>
      <w:pPr>
        <w:spacing w:line="480" w:lineRule="auto"/>
        <w:jc w:val="center"/>
        <w:rPr>
          <w:rFonts w:hint="eastAsia" w:ascii="Times New Roman" w:hAnsi="Times New Roman" w:eastAsia="宋体" w:cs="Times New Roman"/>
          <w:b/>
          <w:bCs/>
          <w:color w:val="373535"/>
          <w:sz w:val="48"/>
          <w:szCs w:val="48"/>
          <w:lang w:eastAsia="zh-CN"/>
        </w:rPr>
      </w:pPr>
      <w:r>
        <w:rPr>
          <w:rFonts w:hint="default" w:ascii="Times New Roman" w:hAnsi="Times New Roman" w:eastAsia="宋体" w:cs="Times New Roman"/>
          <w:b/>
          <w:bCs/>
          <w:color w:val="373535"/>
          <w:sz w:val="48"/>
          <w:szCs w:val="48"/>
        </w:rPr>
        <w:t>18</w:t>
      </w:r>
      <w:r>
        <w:rPr>
          <w:rFonts w:hint="default" w:ascii="Times New Roman" w:hAnsi="Times New Roman" w:eastAsia="宋体" w:cs="Times New Roman"/>
          <w:b/>
          <w:bCs/>
          <w:color w:val="373535"/>
          <w:sz w:val="48"/>
          <w:szCs w:val="48"/>
          <w:lang w:val="en-US" w:eastAsia="zh-CN"/>
        </w:rPr>
        <w:t>至</w:t>
      </w:r>
      <w:r>
        <w:rPr>
          <w:rFonts w:hint="default" w:ascii="Times New Roman" w:hAnsi="Times New Roman" w:eastAsia="宋体" w:cs="Times New Roman"/>
          <w:b/>
          <w:bCs/>
          <w:color w:val="373535"/>
          <w:sz w:val="48"/>
          <w:szCs w:val="48"/>
        </w:rPr>
        <w:t>20号泊位工程</w:t>
      </w:r>
      <w:r>
        <w:rPr>
          <w:rFonts w:hint="eastAsia" w:ascii="Times New Roman" w:hAnsi="Times New Roman" w:eastAsia="宋体" w:cs="Times New Roman"/>
          <w:b/>
          <w:bCs/>
          <w:color w:val="373535"/>
          <w:sz w:val="48"/>
          <w:szCs w:val="48"/>
          <w:lang w:eastAsia="zh-CN"/>
        </w:rPr>
        <w:t>（</w:t>
      </w:r>
      <w:r>
        <w:rPr>
          <w:rFonts w:hint="eastAsia" w:ascii="Times New Roman" w:hAnsi="Times New Roman" w:eastAsia="宋体" w:cs="Times New Roman"/>
          <w:b/>
          <w:bCs/>
          <w:color w:val="373535"/>
          <w:sz w:val="48"/>
          <w:szCs w:val="48"/>
          <w:lang w:val="en-US" w:eastAsia="zh-CN"/>
        </w:rPr>
        <w:t>变更</w:t>
      </w:r>
      <w:r>
        <w:rPr>
          <w:rFonts w:hint="eastAsia" w:ascii="Times New Roman" w:hAnsi="Times New Roman" w:eastAsia="宋体" w:cs="Times New Roman"/>
          <w:b/>
          <w:bCs/>
          <w:color w:val="373535"/>
          <w:sz w:val="48"/>
          <w:szCs w:val="48"/>
          <w:lang w:eastAsia="zh-CN"/>
        </w:rPr>
        <w:t>）</w:t>
      </w:r>
    </w:p>
    <w:p>
      <w:pPr>
        <w:spacing w:line="480" w:lineRule="auto"/>
        <w:jc w:val="center"/>
        <w:rPr>
          <w:rFonts w:hint="default" w:ascii="Times New Roman" w:hAnsi="Times New Roman" w:eastAsia="宋体" w:cs="Times New Roman"/>
          <w:b/>
          <w:bCs/>
          <w:color w:val="373535"/>
          <w:sz w:val="48"/>
          <w:szCs w:val="48"/>
        </w:rPr>
      </w:pPr>
    </w:p>
    <w:p>
      <w:pPr>
        <w:spacing w:line="480" w:lineRule="auto"/>
        <w:jc w:val="center"/>
        <w:rPr>
          <w:rFonts w:hint="default" w:ascii="Times New Roman" w:hAnsi="Times New Roman" w:eastAsia="宋体" w:cs="Times New Roman"/>
          <w:b/>
          <w:bCs/>
          <w:color w:val="373535"/>
          <w:sz w:val="48"/>
          <w:szCs w:val="48"/>
        </w:rPr>
      </w:pPr>
      <w:r>
        <w:rPr>
          <w:rFonts w:hint="default" w:ascii="Times New Roman" w:hAnsi="Times New Roman" w:eastAsia="宋体" w:cs="Times New Roman"/>
          <w:b/>
          <w:bCs/>
          <w:color w:val="373535"/>
          <w:sz w:val="48"/>
          <w:szCs w:val="48"/>
        </w:rPr>
        <w:t>环境影响评价公众参与说明</w:t>
      </w: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rPr>
          <w:rFonts w:hint="default" w:ascii="Times New Roman" w:hAnsi="Times New Roman" w:eastAsia="宋体" w:cs="Times New Roman"/>
          <w:color w:val="373535"/>
          <w:sz w:val="39"/>
        </w:rPr>
      </w:pPr>
    </w:p>
    <w:p>
      <w:pPr>
        <w:jc w:val="center"/>
        <w:rPr>
          <w:rFonts w:hint="default" w:ascii="Times New Roman" w:hAnsi="Times New Roman" w:eastAsia="宋体" w:cs="Times New Roman"/>
          <w:color w:val="373535"/>
          <w:sz w:val="39"/>
        </w:rPr>
      </w:pPr>
      <w:r>
        <w:rPr>
          <w:rFonts w:hint="default" w:ascii="Times New Roman" w:hAnsi="Times New Roman" w:eastAsia="宋体" w:cs="Times New Roman"/>
          <w:color w:val="373535"/>
          <w:sz w:val="39"/>
        </w:rPr>
        <w:t>福建宁港港口投资发展有限公司</w:t>
      </w:r>
    </w:p>
    <w:p>
      <w:pPr>
        <w:jc w:val="center"/>
        <w:rPr>
          <w:rFonts w:hint="default" w:ascii="Times New Roman" w:hAnsi="Times New Roman" w:eastAsia="宋体" w:cs="Times New Roman"/>
          <w:color w:val="373535"/>
          <w:sz w:val="39"/>
          <w:lang w:val="en-US" w:eastAsia="zh-CN"/>
        </w:rPr>
      </w:pPr>
      <w:r>
        <w:rPr>
          <w:rFonts w:hint="default" w:ascii="Times New Roman" w:hAnsi="Times New Roman" w:eastAsia="宋体" w:cs="Times New Roman"/>
          <w:color w:val="373535"/>
          <w:sz w:val="39"/>
          <w:lang w:val="en-US" w:eastAsia="zh-CN"/>
        </w:rPr>
        <w:t>202</w:t>
      </w:r>
      <w:r>
        <w:rPr>
          <w:rFonts w:hint="eastAsia" w:ascii="Times New Roman" w:hAnsi="Times New Roman" w:eastAsia="宋体" w:cs="Times New Roman"/>
          <w:color w:val="373535"/>
          <w:sz w:val="39"/>
          <w:lang w:val="en-US" w:eastAsia="zh-CN"/>
        </w:rPr>
        <w:t>4</w:t>
      </w:r>
      <w:r>
        <w:rPr>
          <w:rFonts w:hint="default" w:ascii="Times New Roman" w:hAnsi="Times New Roman" w:eastAsia="宋体" w:cs="Times New Roman"/>
          <w:color w:val="373535"/>
          <w:sz w:val="39"/>
          <w:lang w:val="en-US" w:eastAsia="zh-CN"/>
        </w:rPr>
        <w:t>年</w:t>
      </w:r>
      <w:r>
        <w:rPr>
          <w:rFonts w:hint="eastAsia" w:ascii="Times New Roman" w:hAnsi="Times New Roman" w:eastAsia="宋体" w:cs="Times New Roman"/>
          <w:color w:val="373535"/>
          <w:sz w:val="39"/>
          <w:lang w:val="en-US" w:eastAsia="zh-CN"/>
        </w:rPr>
        <w:t>1</w:t>
      </w:r>
      <w:r>
        <w:rPr>
          <w:rFonts w:hint="default" w:ascii="Times New Roman" w:hAnsi="Times New Roman" w:eastAsia="宋体" w:cs="Times New Roman"/>
          <w:color w:val="373535"/>
          <w:sz w:val="39"/>
          <w:lang w:val="en-US" w:eastAsia="zh-CN"/>
        </w:rPr>
        <w:t>月</w:t>
      </w:r>
    </w:p>
    <w:p>
      <w:pPr>
        <w:rPr>
          <w:rFonts w:hint="default" w:ascii="Times New Roman" w:hAnsi="Times New Roman" w:eastAsia="宋体" w:cs="Times New Roman"/>
          <w:color w:val="373535"/>
          <w:sz w:val="39"/>
          <w:lang w:val="en-US" w:eastAsia="zh-CN"/>
        </w:rPr>
      </w:pPr>
      <w:r>
        <w:rPr>
          <w:rFonts w:hint="default" w:ascii="Times New Roman" w:hAnsi="Times New Roman" w:eastAsia="宋体" w:cs="Times New Roman"/>
          <w:color w:val="373535"/>
          <w:sz w:val="39"/>
          <w:lang w:val="en-US" w:eastAsia="zh-CN"/>
        </w:rPr>
        <w:br w:type="page"/>
      </w:r>
    </w:p>
    <w:sdt>
      <w:sdtPr>
        <w:rPr>
          <w:rFonts w:hint="default" w:ascii="Times New Roman" w:hAnsi="Times New Roman" w:eastAsia="宋体" w:cs="Times New Roman"/>
          <w:sz w:val="21"/>
          <w:szCs w:val="24"/>
          <w:lang w:val="en-US" w:eastAsia="zh-CN" w:bidi="ar-SA"/>
        </w:rPr>
        <w:id w:val="147457993"/>
        <w15:color w:val="DBDBDB"/>
        <w:docPartObj>
          <w:docPartGallery w:val="Table of Contents"/>
          <w:docPartUnique/>
        </w:docPartObj>
      </w:sdtPr>
      <w:sdtEndPr>
        <w:rPr>
          <w:rFonts w:hint="default" w:ascii="Times New Roman" w:hAnsi="Times New Roman" w:eastAsia="宋体" w:cs="Times New Roman"/>
          <w:bCs/>
          <w:color w:val="373535"/>
          <w:sz w:val="24"/>
          <w:szCs w:val="24"/>
          <w:lang w:val="en-US"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rPr>
          </w:pPr>
          <w:r>
            <w:rPr>
              <w:rFonts w:hint="default" w:ascii="Times New Roman" w:hAnsi="Times New Roman" w:eastAsia="宋体" w:cs="Times New Roman"/>
              <w:sz w:val="21"/>
            </w:rPr>
            <w:t>目录</w:t>
          </w:r>
        </w:p>
        <w:p>
          <w:pPr>
            <w:pStyle w:val="8"/>
            <w:tabs>
              <w:tab w:val="right" w:leader="dot" w:pos="8306"/>
            </w:tabs>
            <w:spacing w:line="360" w:lineRule="auto"/>
          </w:pPr>
          <w:r>
            <w:rPr>
              <w:rFonts w:hint="default" w:ascii="Times New Roman" w:hAnsi="Times New Roman" w:eastAsia="宋体" w:cs="Times New Roman"/>
              <w:b/>
              <w:bCs/>
              <w:color w:val="373535"/>
              <w:sz w:val="39"/>
              <w:lang w:val="en-US" w:eastAsia="zh-CN"/>
            </w:rPr>
            <w:fldChar w:fldCharType="begin"/>
          </w:r>
          <w:r>
            <w:rPr>
              <w:rFonts w:hint="default" w:ascii="Times New Roman" w:hAnsi="Times New Roman" w:eastAsia="宋体" w:cs="Times New Roman"/>
              <w:b/>
              <w:bCs/>
              <w:color w:val="373535"/>
              <w:sz w:val="39"/>
              <w:lang w:val="en-US" w:eastAsia="zh-CN"/>
            </w:rPr>
            <w:instrText xml:space="preserve">TOC \o "1-3" \h \u </w:instrText>
          </w:r>
          <w:r>
            <w:rPr>
              <w:rFonts w:hint="default" w:ascii="Times New Roman" w:hAnsi="Times New Roman" w:eastAsia="宋体" w:cs="Times New Roman"/>
              <w:b/>
              <w:bCs/>
              <w:color w:val="373535"/>
              <w:sz w:val="39"/>
              <w:lang w:val="en-US" w:eastAsia="zh-CN"/>
            </w:rPr>
            <w:fldChar w:fldCharType="separate"/>
          </w: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_Toc14527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lang w:val="en-US" w:eastAsia="zh-CN"/>
            </w:rPr>
            <w:t>1  概述</w:t>
          </w:r>
          <w:r>
            <w:tab/>
          </w:r>
          <w:r>
            <w:fldChar w:fldCharType="begin"/>
          </w:r>
          <w:r>
            <w:instrText xml:space="preserve"> PAGEREF _Toc14527 \h </w:instrText>
          </w:r>
          <w:r>
            <w:fldChar w:fldCharType="separate"/>
          </w:r>
          <w:r>
            <w:t>1</w:t>
          </w:r>
          <w:r>
            <w:fldChar w:fldCharType="end"/>
          </w:r>
          <w:r>
            <w:rPr>
              <w:rFonts w:hint="default" w:ascii="Times New Roman" w:hAnsi="Times New Roman" w:eastAsia="宋体" w:cs="Times New Roman"/>
              <w:bCs/>
              <w:color w:val="373535"/>
              <w:lang w:val="en-US" w:eastAsia="zh-CN"/>
            </w:rPr>
            <w:fldChar w:fldCharType="end"/>
          </w:r>
        </w:p>
        <w:p>
          <w:pPr>
            <w:pStyle w:val="8"/>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_Toc11609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lang w:val="en-US" w:eastAsia="zh-CN"/>
            </w:rPr>
            <w:t>2  首次环境影响评价信息公开情况</w:t>
          </w:r>
          <w:r>
            <w:tab/>
          </w:r>
          <w:r>
            <w:fldChar w:fldCharType="begin"/>
          </w:r>
          <w:r>
            <w:instrText xml:space="preserve"> PAGEREF _Toc11609 \h </w:instrText>
          </w:r>
          <w:r>
            <w:fldChar w:fldCharType="separate"/>
          </w:r>
          <w:r>
            <w:t>3</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_Toc31916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 xml:space="preserve">2.1 </w:t>
          </w:r>
          <w:r>
            <w:rPr>
              <w:rFonts w:hint="eastAsia" w:ascii="Times New Roman" w:hAnsi="Times New Roman" w:cs="Times New Roman"/>
              <w:bCs/>
              <w:szCs w:val="28"/>
              <w:lang w:val="en-US" w:eastAsia="zh-CN"/>
            </w:rPr>
            <w:t>首次公示经过</w:t>
          </w:r>
          <w:r>
            <w:tab/>
          </w:r>
          <w:r>
            <w:fldChar w:fldCharType="begin"/>
          </w:r>
          <w:r>
            <w:instrText xml:space="preserve"> PAGEREF _Toc31916 \h </w:instrText>
          </w:r>
          <w:r>
            <w:fldChar w:fldCharType="separate"/>
          </w:r>
          <w:r>
            <w:t>3</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_Toc32698 </w:instrText>
          </w:r>
          <w:r>
            <w:rPr>
              <w:rFonts w:hint="default" w:ascii="Times New Roman" w:hAnsi="Times New Roman" w:eastAsia="宋体" w:cs="Times New Roman"/>
              <w:bCs/>
              <w:lang w:val="en-US" w:eastAsia="zh-CN"/>
            </w:rPr>
            <w:fldChar w:fldCharType="separate"/>
          </w:r>
          <w:r>
            <w:rPr>
              <w:rFonts w:hint="eastAsia" w:ascii="Times New Roman" w:hAnsi="Times New Roman" w:eastAsia="宋体" w:cs="Times New Roman"/>
              <w:bCs/>
              <w:szCs w:val="28"/>
              <w:lang w:val="en-US" w:eastAsia="zh-CN"/>
            </w:rPr>
            <w:t>2.2 公示内容</w:t>
          </w:r>
          <w:r>
            <w:tab/>
          </w:r>
          <w:r>
            <w:fldChar w:fldCharType="begin"/>
          </w:r>
          <w:r>
            <w:instrText xml:space="preserve"> PAGEREF _Toc32698 \h </w:instrText>
          </w:r>
          <w:r>
            <w:fldChar w:fldCharType="separate"/>
          </w:r>
          <w:r>
            <w:t>3</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_Toc31279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2.</w:t>
          </w:r>
          <w:r>
            <w:rPr>
              <w:rFonts w:hint="eastAsia" w:ascii="Times New Roman" w:hAnsi="Times New Roman" w:cs="Times New Roman"/>
              <w:bCs/>
              <w:szCs w:val="28"/>
              <w:lang w:val="en-US" w:eastAsia="zh-CN"/>
            </w:rPr>
            <w:t>3</w:t>
          </w:r>
          <w:r>
            <w:rPr>
              <w:rFonts w:hint="default" w:ascii="Times New Roman" w:hAnsi="Times New Roman" w:eastAsia="宋体" w:cs="Times New Roman"/>
              <w:bCs/>
              <w:szCs w:val="28"/>
              <w:lang w:val="en-US" w:eastAsia="zh-CN"/>
            </w:rPr>
            <w:t xml:space="preserve"> 公开方式</w:t>
          </w:r>
          <w:r>
            <w:tab/>
          </w:r>
          <w:r>
            <w:fldChar w:fldCharType="begin"/>
          </w:r>
          <w:r>
            <w:instrText xml:space="preserve"> PAGEREF _Toc31279 \h </w:instrText>
          </w:r>
          <w:r>
            <w:fldChar w:fldCharType="separate"/>
          </w:r>
          <w:r>
            <w:t>3</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_Toc15331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2.</w:t>
          </w:r>
          <w:r>
            <w:rPr>
              <w:rFonts w:hint="eastAsia" w:ascii="Times New Roman" w:hAnsi="Times New Roman" w:cs="Times New Roman"/>
              <w:bCs/>
              <w:szCs w:val="28"/>
              <w:lang w:val="en-US" w:eastAsia="zh-CN"/>
            </w:rPr>
            <w:t>4</w:t>
          </w:r>
          <w:r>
            <w:rPr>
              <w:rFonts w:hint="default" w:ascii="Times New Roman" w:hAnsi="Times New Roman" w:eastAsia="宋体" w:cs="Times New Roman"/>
              <w:bCs/>
              <w:szCs w:val="28"/>
              <w:lang w:val="en-US" w:eastAsia="zh-CN"/>
            </w:rPr>
            <w:t xml:space="preserve"> 公众意见情况</w:t>
          </w:r>
          <w:r>
            <w:tab/>
          </w:r>
          <w:r>
            <w:fldChar w:fldCharType="begin"/>
          </w:r>
          <w:r>
            <w:instrText xml:space="preserve"> PAGEREF _Toc15331 \h </w:instrText>
          </w:r>
          <w:r>
            <w:fldChar w:fldCharType="separate"/>
          </w:r>
          <w:r>
            <w:t>4</w:t>
          </w:r>
          <w:r>
            <w:fldChar w:fldCharType="end"/>
          </w:r>
          <w:r>
            <w:rPr>
              <w:rFonts w:hint="default" w:ascii="Times New Roman" w:hAnsi="Times New Roman" w:eastAsia="宋体" w:cs="Times New Roman"/>
              <w:bCs/>
              <w:color w:val="373535"/>
              <w:lang w:val="en-US" w:eastAsia="zh-CN"/>
            </w:rPr>
            <w:fldChar w:fldCharType="end"/>
          </w:r>
        </w:p>
        <w:p>
          <w:pPr>
            <w:pStyle w:val="8"/>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_Toc28600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lang w:val="en-US" w:eastAsia="zh-CN"/>
            </w:rPr>
            <w:t>3 征求意见稿公示情况</w:t>
          </w:r>
          <w:r>
            <w:tab/>
          </w:r>
          <w:r>
            <w:fldChar w:fldCharType="begin"/>
          </w:r>
          <w:r>
            <w:instrText xml:space="preserve"> PAGEREF _Toc28600 \h </w:instrText>
          </w:r>
          <w:r>
            <w:fldChar w:fldCharType="separate"/>
          </w:r>
          <w:r>
            <w:t>5</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_Toc1242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3.1 公示内容及时限</w:t>
          </w:r>
          <w:r>
            <w:tab/>
          </w:r>
          <w:r>
            <w:fldChar w:fldCharType="begin"/>
          </w:r>
          <w:r>
            <w:instrText xml:space="preserve"> PAGEREF _Toc1242 \h </w:instrText>
          </w:r>
          <w:r>
            <w:fldChar w:fldCharType="separate"/>
          </w:r>
          <w:r>
            <w:t>5</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_Toc8516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3.2 公示方式</w:t>
          </w:r>
          <w:r>
            <w:tab/>
          </w:r>
          <w:r>
            <w:fldChar w:fldCharType="begin"/>
          </w:r>
          <w:r>
            <w:instrText xml:space="preserve"> PAGEREF _Toc8516 \h </w:instrText>
          </w:r>
          <w:r>
            <w:fldChar w:fldCharType="separate"/>
          </w:r>
          <w:r>
            <w:t>5</w:t>
          </w:r>
          <w:r>
            <w:fldChar w:fldCharType="end"/>
          </w:r>
          <w:r>
            <w:rPr>
              <w:rFonts w:hint="default" w:ascii="Times New Roman" w:hAnsi="Times New Roman" w:eastAsia="宋体" w:cs="Times New Roman"/>
              <w:bCs/>
              <w:color w:val="373535"/>
              <w:lang w:val="en-US" w:eastAsia="zh-CN"/>
            </w:rPr>
            <w:fldChar w:fldCharType="end"/>
          </w:r>
        </w:p>
        <w:p>
          <w:pPr>
            <w:pStyle w:val="5"/>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_Toc12164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w w:val="105"/>
              <w:szCs w:val="24"/>
              <w:lang w:val="en-US" w:eastAsia="zh-CN"/>
            </w:rPr>
            <w:t>3.2.1网络</w:t>
          </w:r>
          <w:r>
            <w:tab/>
          </w:r>
          <w:r>
            <w:fldChar w:fldCharType="begin"/>
          </w:r>
          <w:r>
            <w:instrText xml:space="preserve"> PAGEREF _Toc12164 \h </w:instrText>
          </w:r>
          <w:r>
            <w:fldChar w:fldCharType="separate"/>
          </w:r>
          <w:r>
            <w:t>5</w:t>
          </w:r>
          <w:r>
            <w:fldChar w:fldCharType="end"/>
          </w:r>
          <w:r>
            <w:rPr>
              <w:rFonts w:hint="default" w:ascii="Times New Roman" w:hAnsi="Times New Roman" w:eastAsia="宋体" w:cs="Times New Roman"/>
              <w:bCs/>
              <w:color w:val="373535"/>
              <w:lang w:val="en-US" w:eastAsia="zh-CN"/>
            </w:rPr>
            <w:fldChar w:fldCharType="end"/>
          </w:r>
        </w:p>
        <w:p>
          <w:pPr>
            <w:pStyle w:val="5"/>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_Toc13693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w w:val="105"/>
              <w:szCs w:val="24"/>
              <w:lang w:val="en-US" w:eastAsia="zh-CN"/>
            </w:rPr>
            <w:t>3.2.2报纸</w:t>
          </w:r>
          <w:r>
            <w:tab/>
          </w:r>
          <w:r>
            <w:fldChar w:fldCharType="begin"/>
          </w:r>
          <w:r>
            <w:instrText xml:space="preserve"> PAGEREF _Toc13693 \h </w:instrText>
          </w:r>
          <w:r>
            <w:fldChar w:fldCharType="separate"/>
          </w:r>
          <w:r>
            <w:t>6</w:t>
          </w:r>
          <w:r>
            <w:fldChar w:fldCharType="end"/>
          </w:r>
          <w:r>
            <w:rPr>
              <w:rFonts w:hint="default" w:ascii="Times New Roman" w:hAnsi="Times New Roman" w:eastAsia="宋体" w:cs="Times New Roman"/>
              <w:bCs/>
              <w:color w:val="373535"/>
              <w:lang w:val="en-US" w:eastAsia="zh-CN"/>
            </w:rPr>
            <w:fldChar w:fldCharType="end"/>
          </w:r>
        </w:p>
        <w:p>
          <w:pPr>
            <w:pStyle w:val="5"/>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_Toc16342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w w:val="105"/>
              <w:szCs w:val="24"/>
              <w:lang w:val="en-US" w:eastAsia="zh-CN"/>
            </w:rPr>
            <w:t>3.2.3 公告</w:t>
          </w:r>
          <w:r>
            <w:tab/>
          </w:r>
          <w:r>
            <w:fldChar w:fldCharType="begin"/>
          </w:r>
          <w:r>
            <w:instrText xml:space="preserve"> PAGEREF _Toc16342 \h </w:instrText>
          </w:r>
          <w:r>
            <w:fldChar w:fldCharType="separate"/>
          </w:r>
          <w:r>
            <w:t>9</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_Toc172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3.3查阅情况</w:t>
          </w:r>
          <w:r>
            <w:tab/>
          </w:r>
          <w:r>
            <w:fldChar w:fldCharType="begin"/>
          </w:r>
          <w:r>
            <w:instrText xml:space="preserve"> PAGEREF _Toc172 \h </w:instrText>
          </w:r>
          <w:r>
            <w:fldChar w:fldCharType="separate"/>
          </w:r>
          <w:r>
            <w:t>9</w:t>
          </w:r>
          <w:r>
            <w:fldChar w:fldCharType="end"/>
          </w:r>
          <w:r>
            <w:rPr>
              <w:rFonts w:hint="default" w:ascii="Times New Roman" w:hAnsi="Times New Roman" w:eastAsia="宋体" w:cs="Times New Roman"/>
              <w:bCs/>
              <w:color w:val="373535"/>
              <w:lang w:val="en-US" w:eastAsia="zh-CN"/>
            </w:rPr>
            <w:fldChar w:fldCharType="end"/>
          </w:r>
        </w:p>
        <w:p>
          <w:pPr>
            <w:pStyle w:val="9"/>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_Toc16507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szCs w:val="28"/>
              <w:lang w:val="en-US" w:eastAsia="zh-CN"/>
            </w:rPr>
            <w:t>3.4公众提出意见情况</w:t>
          </w:r>
          <w:r>
            <w:tab/>
          </w:r>
          <w:r>
            <w:fldChar w:fldCharType="begin"/>
          </w:r>
          <w:r>
            <w:instrText xml:space="preserve"> PAGEREF _Toc16507 \h </w:instrText>
          </w:r>
          <w:r>
            <w:fldChar w:fldCharType="separate"/>
          </w:r>
          <w:r>
            <w:t>9</w:t>
          </w:r>
          <w:r>
            <w:fldChar w:fldCharType="end"/>
          </w:r>
          <w:r>
            <w:rPr>
              <w:rFonts w:hint="default" w:ascii="Times New Roman" w:hAnsi="Times New Roman" w:eastAsia="宋体" w:cs="Times New Roman"/>
              <w:bCs/>
              <w:color w:val="373535"/>
              <w:lang w:val="en-US" w:eastAsia="zh-CN"/>
            </w:rPr>
            <w:fldChar w:fldCharType="end"/>
          </w:r>
        </w:p>
        <w:p>
          <w:pPr>
            <w:pStyle w:val="8"/>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_Toc21579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lang w:val="en-US" w:eastAsia="zh-CN"/>
            </w:rPr>
            <w:t>4 其他公众参与情况</w:t>
          </w:r>
          <w:r>
            <w:tab/>
          </w:r>
          <w:r>
            <w:fldChar w:fldCharType="begin"/>
          </w:r>
          <w:r>
            <w:instrText xml:space="preserve"> PAGEREF _Toc21579 \h </w:instrText>
          </w:r>
          <w:r>
            <w:fldChar w:fldCharType="separate"/>
          </w:r>
          <w:r>
            <w:t>10</w:t>
          </w:r>
          <w:r>
            <w:fldChar w:fldCharType="end"/>
          </w:r>
          <w:r>
            <w:rPr>
              <w:rFonts w:hint="default" w:ascii="Times New Roman" w:hAnsi="Times New Roman" w:eastAsia="宋体" w:cs="Times New Roman"/>
              <w:bCs/>
              <w:color w:val="373535"/>
              <w:lang w:val="en-US" w:eastAsia="zh-CN"/>
            </w:rPr>
            <w:fldChar w:fldCharType="end"/>
          </w:r>
        </w:p>
        <w:p>
          <w:pPr>
            <w:pStyle w:val="8"/>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_Toc20626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lang w:val="en-US" w:eastAsia="zh-CN"/>
            </w:rPr>
            <w:t>5 公众意见处理情况</w:t>
          </w:r>
          <w:r>
            <w:tab/>
          </w:r>
          <w:r>
            <w:fldChar w:fldCharType="begin"/>
          </w:r>
          <w:r>
            <w:instrText xml:space="preserve"> PAGEREF _Toc20626 \h </w:instrText>
          </w:r>
          <w:r>
            <w:fldChar w:fldCharType="separate"/>
          </w:r>
          <w:r>
            <w:t>10</w:t>
          </w:r>
          <w:r>
            <w:fldChar w:fldCharType="end"/>
          </w:r>
          <w:r>
            <w:rPr>
              <w:rFonts w:hint="default" w:ascii="Times New Roman" w:hAnsi="Times New Roman" w:eastAsia="宋体" w:cs="Times New Roman"/>
              <w:bCs/>
              <w:color w:val="373535"/>
              <w:lang w:val="en-US" w:eastAsia="zh-CN"/>
            </w:rPr>
            <w:fldChar w:fldCharType="end"/>
          </w:r>
        </w:p>
        <w:p>
          <w:pPr>
            <w:pStyle w:val="8"/>
            <w:tabs>
              <w:tab w:val="right" w:leader="dot" w:pos="8306"/>
            </w:tabs>
            <w:spacing w:line="360" w:lineRule="auto"/>
            <w:rPr>
              <w:rFonts w:hint="default" w:ascii="Times New Roman" w:hAnsi="Times New Roman" w:eastAsia="宋体" w:cs="Times New Roman"/>
              <w:bCs/>
              <w:color w:val="373535"/>
              <w:lang w:val="en-US" w:eastAsia="zh-CN"/>
            </w:rPr>
          </w:pPr>
        </w:p>
        <w:p>
          <w:pPr>
            <w:rPr>
              <w:rFonts w:hint="default" w:ascii="Times New Roman" w:hAnsi="Times New Roman" w:eastAsia="宋体" w:cs="Times New Roman"/>
              <w:bCs/>
              <w:color w:val="373535"/>
              <w:lang w:val="en-US" w:eastAsia="zh-CN"/>
            </w:rPr>
          </w:pPr>
        </w:p>
        <w:p>
          <w:pPr>
            <w:pStyle w:val="2"/>
            <w:ind w:left="0" w:leftChars="0" w:firstLine="0" w:firstLineChars="0"/>
            <w:rPr>
              <w:rFonts w:hint="default"/>
              <w:lang w:val="en-US" w:eastAsia="zh-CN"/>
            </w:rPr>
          </w:pPr>
          <w:r>
            <w:rPr>
              <w:rFonts w:hint="eastAsia" w:ascii="Times New Roman" w:hAnsi="Times New Roman" w:eastAsia="宋体" w:cs="Times New Roman"/>
              <w:bCs/>
              <w:color w:val="373535"/>
              <w:lang w:val="en-US" w:eastAsia="zh-CN"/>
            </w:rPr>
            <w:t>附件</w:t>
          </w:r>
          <w:bookmarkStart w:id="17" w:name="_GoBack"/>
          <w:bookmarkEnd w:id="17"/>
        </w:p>
        <w:p>
          <w:pPr>
            <w:pStyle w:val="8"/>
            <w:tabs>
              <w:tab w:val="right" w:leader="dot" w:pos="8306"/>
            </w:tabs>
            <w:spacing w:line="360" w:lineRule="auto"/>
          </w:pPr>
          <w:r>
            <w:rPr>
              <w:rFonts w:hint="default" w:ascii="Times New Roman" w:hAnsi="Times New Roman" w:eastAsia="宋体" w:cs="Times New Roman"/>
              <w:bCs/>
              <w:color w:val="373535"/>
              <w:lang w:val="en-US" w:eastAsia="zh-CN"/>
            </w:rPr>
            <w:fldChar w:fldCharType="begin"/>
          </w:r>
          <w:r>
            <w:rPr>
              <w:rFonts w:hint="default" w:ascii="Times New Roman" w:hAnsi="Times New Roman" w:eastAsia="宋体" w:cs="Times New Roman"/>
              <w:bCs/>
              <w:lang w:val="en-US" w:eastAsia="zh-CN"/>
            </w:rPr>
            <w:instrText xml:space="preserve"> HYPERLINK \l _Toc24649 </w:instrText>
          </w:r>
          <w:r>
            <w:rPr>
              <w:rFonts w:hint="default" w:ascii="Times New Roman" w:hAnsi="Times New Roman" w:eastAsia="宋体" w:cs="Times New Roman"/>
              <w:bCs/>
              <w:lang w:val="en-US" w:eastAsia="zh-CN"/>
            </w:rPr>
            <w:fldChar w:fldCharType="separate"/>
          </w:r>
          <w:r>
            <w:rPr>
              <w:rFonts w:hint="default" w:ascii="Times New Roman" w:hAnsi="Times New Roman" w:eastAsia="宋体" w:cs="Times New Roman"/>
              <w:bCs/>
              <w:w w:val="105"/>
              <w:szCs w:val="44"/>
              <w:lang w:val="en-US" w:eastAsia="zh-CN"/>
            </w:rPr>
            <w:t>诚信承诺</w:t>
          </w:r>
          <w:r>
            <w:tab/>
          </w:r>
          <w:r>
            <w:fldChar w:fldCharType="begin"/>
          </w:r>
          <w:r>
            <w:instrText xml:space="preserve"> PAGEREF _Toc24649 \h </w:instrText>
          </w:r>
          <w:r>
            <w:fldChar w:fldCharType="separate"/>
          </w:r>
          <w:r>
            <w:t>11</w:t>
          </w:r>
          <w:r>
            <w:fldChar w:fldCharType="end"/>
          </w:r>
          <w:r>
            <w:rPr>
              <w:rFonts w:hint="default" w:ascii="Times New Roman" w:hAnsi="Times New Roman" w:eastAsia="宋体" w:cs="Times New Roman"/>
              <w:bCs/>
              <w:color w:val="373535"/>
              <w:lang w:val="en-US" w:eastAsia="zh-C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outlineLvl w:val="9"/>
            <w:rPr>
              <w:rFonts w:hint="default" w:ascii="Times New Roman" w:hAnsi="Times New Roman" w:eastAsia="宋体" w:cs="Times New Roman"/>
              <w:b/>
              <w:bCs/>
              <w:color w:val="373535"/>
              <w:sz w:val="39"/>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宋体" w:cs="Times New Roman"/>
              <w:bCs/>
              <w:color w:val="373535"/>
              <w:lang w:val="en-US" w:eastAsia="zh-CN"/>
            </w:rPr>
            <w:fldChar w:fldCharType="end"/>
          </w:r>
        </w:p>
      </w:sdtContent>
    </w:sdt>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outlineLvl w:val="0"/>
        <w:rPr>
          <w:rFonts w:hint="default" w:ascii="Times New Roman" w:hAnsi="Times New Roman" w:eastAsia="宋体" w:cs="Times New Roman"/>
          <w:b/>
          <w:bCs/>
          <w:color w:val="373535"/>
          <w:sz w:val="39"/>
          <w:lang w:val="en-US" w:eastAsia="zh-CN"/>
        </w:rPr>
      </w:pPr>
      <w:bookmarkStart w:id="0" w:name="_Toc14527"/>
      <w:r>
        <w:rPr>
          <w:rFonts w:hint="default" w:ascii="Times New Roman" w:hAnsi="Times New Roman" w:eastAsia="宋体" w:cs="Times New Roman"/>
          <w:b/>
          <w:bCs/>
          <w:color w:val="373535"/>
          <w:sz w:val="39"/>
          <w:lang w:val="en-US" w:eastAsia="zh-CN"/>
        </w:rPr>
        <w:t>1  概述</w:t>
      </w:r>
      <w:bookmarkEnd w:id="0"/>
    </w:p>
    <w:p>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2020年3月15日，本工程取得福建省发展和改革委员会的核准批复</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szCs w:val="22"/>
        </w:rPr>
        <w:t>2020年9月</w:t>
      </w:r>
      <w:r>
        <w:rPr>
          <w:rFonts w:hint="default" w:ascii="Times New Roman" w:hAnsi="Times New Roman" w:eastAsia="宋体" w:cs="Times New Roman"/>
          <w:color w:val="auto"/>
          <w:kern w:val="0"/>
          <w:sz w:val="24"/>
          <w:szCs w:val="22"/>
          <w:lang w:val="en-US" w:eastAsia="zh-CN"/>
        </w:rPr>
        <w:t>福建宁港港口投资发展有限公司</w:t>
      </w:r>
      <w:r>
        <w:rPr>
          <w:rFonts w:hint="default" w:ascii="Times New Roman" w:hAnsi="Times New Roman" w:eastAsia="宋体" w:cs="Times New Roman"/>
          <w:color w:val="auto"/>
          <w:kern w:val="0"/>
          <w:sz w:val="24"/>
          <w:szCs w:val="22"/>
          <w:lang w:val="en-US" w:eastAsia="zh-CN"/>
        </w:rPr>
        <w:t>委托</w:t>
      </w:r>
      <w:r>
        <w:rPr>
          <w:rFonts w:hint="eastAsia" w:ascii="Times New Roman" w:hAnsi="Times New Roman" w:eastAsia="宋体" w:cs="Times New Roman"/>
          <w:color w:val="auto"/>
          <w:kern w:val="0"/>
          <w:sz w:val="24"/>
          <w:szCs w:val="22"/>
          <w:lang w:val="en-US" w:eastAsia="zh-CN"/>
        </w:rPr>
        <w:t>睿柯环境工程有限公司</w:t>
      </w:r>
      <w:r>
        <w:rPr>
          <w:rFonts w:hint="default" w:ascii="Times New Roman" w:hAnsi="Times New Roman" w:eastAsia="宋体" w:cs="Times New Roman"/>
          <w:color w:val="auto"/>
          <w:kern w:val="0"/>
          <w:sz w:val="24"/>
          <w:szCs w:val="22"/>
        </w:rPr>
        <w:t>编制完成了《福州港三都澳港区漳湾作业区18至20号泊位工程环境影响报告书》</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color w:val="auto"/>
          <w:kern w:val="0"/>
          <w:sz w:val="24"/>
          <w:szCs w:val="22"/>
          <w:lang w:val="en-US" w:eastAsia="zh-CN"/>
        </w:rPr>
        <w:t>并于2021年1月15日取得宁德市生态环境局对于该项目的批复，批复文号：宁环评[2021]1号。</w:t>
      </w:r>
    </w:p>
    <w:p>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根据批复建设内容为：</w:t>
      </w:r>
      <w:r>
        <w:rPr>
          <w:rFonts w:hint="default" w:ascii="Times New Roman" w:hAnsi="Times New Roman" w:eastAsia="宋体" w:cs="Times New Roman"/>
          <w:color w:val="auto"/>
          <w:sz w:val="24"/>
          <w:szCs w:val="24"/>
        </w:rPr>
        <w:t>新建5万</w:t>
      </w:r>
      <w:r>
        <w:rPr>
          <w:rStyle w:val="14"/>
          <w:rFonts w:hint="default" w:ascii="Times New Roman" w:hAnsi="Times New Roman" w:eastAsia="宋体" w:cs="Times New Roman"/>
          <w:color w:val="auto"/>
          <w:szCs w:val="24"/>
        </w:rPr>
        <w:t>吨级通用泊位3个及相应的配套设施，设计年吞吐量600万吨，其中煤炭10万吨，矿建材料340万吨，钢材210万吨，化肥10万吨，机电设备4万吨，袋装水泥26万吨。陆域形成面积18.4924万m</w:t>
      </w:r>
      <w:r>
        <w:rPr>
          <w:rStyle w:val="14"/>
          <w:rFonts w:hint="default" w:ascii="Times New Roman" w:hAnsi="Times New Roman" w:eastAsia="宋体" w:cs="Times New Roman"/>
          <w:color w:val="auto"/>
          <w:szCs w:val="24"/>
          <w:vertAlign w:val="superscript"/>
        </w:rPr>
        <w:t>2</w:t>
      </w:r>
      <w:r>
        <w:rPr>
          <w:rStyle w:val="14"/>
          <w:rFonts w:hint="default" w:ascii="Times New Roman" w:hAnsi="Times New Roman" w:eastAsia="宋体" w:cs="Times New Roman"/>
          <w:color w:val="auto"/>
          <w:szCs w:val="24"/>
        </w:rPr>
        <w:t>。</w:t>
      </w:r>
    </w:p>
    <w:p>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2021年5月，工程开工建设，截止2023年11月项目已完成前沿涉水工程建设（包括码头平台、引桥、港池疏浚）。</w:t>
      </w:r>
    </w:p>
    <w:p>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在建设过程中于2023年5月委托中交第三航务工程勘察设计院有限公司编制《福州港三都澳港区漳湾作业区18至20号泊位工程初步设计调整报告》。于2023年7月24日取得福建省交通运输厅关于该项目工程初步设计变更的批复，批复文号：闽交福港审[2023]16号。</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rPr>
      </w:pPr>
      <w:r>
        <w:rPr>
          <w:rFonts w:hint="default" w:ascii="Times New Roman" w:hAnsi="Times New Roman" w:eastAsia="宋体" w:cs="Times New Roman"/>
          <w:bCs/>
          <w:color w:val="auto"/>
          <w:spacing w:val="4"/>
          <w:sz w:val="24"/>
          <w:szCs w:val="22"/>
        </w:rPr>
        <w:t>据此，本次调整后，</w:t>
      </w:r>
      <w:r>
        <w:rPr>
          <w:rFonts w:hint="default" w:ascii="Times New Roman" w:hAnsi="Times New Roman" w:eastAsia="宋体" w:cs="Times New Roman"/>
          <w:bCs/>
          <w:color w:val="auto"/>
          <w:spacing w:val="4"/>
          <w:sz w:val="24"/>
          <w:szCs w:val="22"/>
          <w:lang w:eastAsia="zh-CN"/>
        </w:rPr>
        <w:t>福州港三都澳港区漳湾作业区18至20号泊位工程</w:t>
      </w:r>
      <w:r>
        <w:rPr>
          <w:rFonts w:hint="default" w:ascii="Times New Roman" w:hAnsi="Times New Roman" w:eastAsia="宋体" w:cs="Times New Roman"/>
          <w:bCs/>
          <w:color w:val="auto"/>
          <w:spacing w:val="4"/>
          <w:sz w:val="24"/>
          <w:szCs w:val="22"/>
        </w:rPr>
        <w:t>的建设内容为：</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lang w:eastAsia="zh-CN"/>
        </w:rPr>
      </w:pPr>
      <w:r>
        <w:rPr>
          <w:rFonts w:hint="default" w:ascii="Times New Roman" w:hAnsi="Times New Roman" w:eastAsia="宋体" w:cs="Times New Roman"/>
          <w:bCs/>
          <w:color w:val="auto"/>
          <w:spacing w:val="4"/>
          <w:sz w:val="24"/>
          <w:szCs w:val="22"/>
        </w:rPr>
        <w:t>（1）泊位规模：</w:t>
      </w:r>
      <w:r>
        <w:rPr>
          <w:rFonts w:hint="default" w:ascii="Times New Roman" w:hAnsi="Times New Roman" w:eastAsia="宋体" w:cs="Times New Roman"/>
          <w:bCs/>
          <w:color w:val="auto"/>
          <w:spacing w:val="4"/>
          <w:sz w:val="24"/>
          <w:szCs w:val="22"/>
          <w:lang w:val="en-US" w:eastAsia="zh-CN"/>
        </w:rPr>
        <w:t>码头规模均不变化，</w:t>
      </w:r>
      <w:r>
        <w:rPr>
          <w:rFonts w:hint="default" w:ascii="Times New Roman" w:hAnsi="Times New Roman" w:eastAsia="宋体" w:cs="Times New Roman"/>
          <w:bCs/>
          <w:color w:val="auto"/>
          <w:spacing w:val="4"/>
          <w:sz w:val="24"/>
          <w:szCs w:val="22"/>
        </w:rPr>
        <w:t>仍然为</w:t>
      </w:r>
      <w:r>
        <w:rPr>
          <w:rFonts w:hint="default" w:ascii="Times New Roman" w:hAnsi="Times New Roman" w:eastAsia="宋体" w:cs="Times New Roman"/>
          <w:bCs/>
          <w:color w:val="auto"/>
          <w:spacing w:val="4"/>
          <w:sz w:val="24"/>
          <w:szCs w:val="22"/>
          <w:lang w:val="en-US" w:eastAsia="zh-CN"/>
        </w:rPr>
        <w:t>3个</w:t>
      </w:r>
      <w:r>
        <w:rPr>
          <w:rFonts w:hint="default" w:ascii="Times New Roman" w:hAnsi="Times New Roman" w:eastAsia="宋体" w:cs="Times New Roman"/>
          <w:bCs/>
          <w:color w:val="auto"/>
          <w:spacing w:val="4"/>
          <w:sz w:val="24"/>
          <w:szCs w:val="22"/>
        </w:rPr>
        <w:t>5万吨级通用散货泊位及相应配套设施</w:t>
      </w:r>
      <w:r>
        <w:rPr>
          <w:rFonts w:hint="default" w:ascii="Times New Roman" w:hAnsi="Times New Roman" w:eastAsia="宋体" w:cs="Times New Roman"/>
          <w:bCs/>
          <w:color w:val="auto"/>
          <w:spacing w:val="4"/>
          <w:sz w:val="24"/>
          <w:szCs w:val="22"/>
          <w:lang w:eastAsia="zh-CN"/>
        </w:rPr>
        <w:t>，</w:t>
      </w:r>
      <w:r>
        <w:rPr>
          <w:rFonts w:hint="default" w:ascii="Times New Roman" w:hAnsi="Times New Roman" w:eastAsia="宋体" w:cs="Times New Roman"/>
          <w:bCs/>
          <w:color w:val="auto"/>
          <w:spacing w:val="4"/>
          <w:sz w:val="24"/>
          <w:szCs w:val="22"/>
          <w:lang w:val="en-US" w:eastAsia="zh-CN"/>
        </w:rPr>
        <w:t>码头</w:t>
      </w:r>
      <w:r>
        <w:rPr>
          <w:rFonts w:hint="default" w:ascii="Times New Roman" w:hAnsi="Times New Roman" w:eastAsia="宋体" w:cs="Times New Roman"/>
          <w:bCs/>
          <w:color w:val="auto"/>
          <w:spacing w:val="4"/>
          <w:sz w:val="24"/>
          <w:szCs w:val="22"/>
        </w:rPr>
        <w:t>长</w:t>
      </w:r>
      <w:r>
        <w:rPr>
          <w:rFonts w:hint="default" w:ascii="Times New Roman" w:hAnsi="Times New Roman" w:eastAsia="宋体" w:cs="Times New Roman"/>
          <w:bCs/>
          <w:color w:val="auto"/>
          <w:spacing w:val="4"/>
          <w:sz w:val="24"/>
          <w:szCs w:val="22"/>
          <w:lang w:val="en-US" w:eastAsia="zh-CN"/>
        </w:rPr>
        <w:t>757</w:t>
      </w:r>
      <w:r>
        <w:rPr>
          <w:rFonts w:hint="default" w:ascii="Times New Roman" w:hAnsi="Times New Roman" w:eastAsia="宋体" w:cs="Times New Roman"/>
          <w:bCs/>
          <w:color w:val="auto"/>
          <w:spacing w:val="4"/>
          <w:sz w:val="24"/>
          <w:szCs w:val="22"/>
        </w:rPr>
        <w:t>m，18号泊位码头宽度取37m，19号与20号泊位码头宽度取30m</w:t>
      </w:r>
      <w:r>
        <w:rPr>
          <w:rFonts w:hint="default" w:ascii="Times New Roman" w:hAnsi="Times New Roman" w:eastAsia="宋体" w:cs="Times New Roman"/>
          <w:bCs/>
          <w:color w:val="auto"/>
          <w:spacing w:val="4"/>
          <w:sz w:val="24"/>
          <w:szCs w:val="22"/>
          <w:lang w:eastAsia="zh-CN"/>
        </w:rPr>
        <w:t>。</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rPr>
      </w:pPr>
      <w:r>
        <w:rPr>
          <w:rFonts w:hint="default" w:ascii="Times New Roman" w:hAnsi="Times New Roman" w:eastAsia="宋体" w:cs="Times New Roman"/>
          <w:bCs/>
          <w:color w:val="auto"/>
          <w:spacing w:val="4"/>
          <w:sz w:val="24"/>
          <w:szCs w:val="22"/>
        </w:rPr>
        <w:t>（2）用海面积：</w:t>
      </w:r>
      <w:r>
        <w:rPr>
          <w:rFonts w:hint="default" w:ascii="Times New Roman" w:hAnsi="Times New Roman" w:eastAsia="宋体" w:cs="Times New Roman"/>
          <w:bCs/>
          <w:color w:val="auto"/>
          <w:spacing w:val="4"/>
          <w:sz w:val="24"/>
          <w:szCs w:val="22"/>
          <w:lang w:val="en-US" w:eastAsia="zh-CN"/>
        </w:rPr>
        <w:t>用海面积不变，</w:t>
      </w:r>
      <w:r>
        <w:rPr>
          <w:rFonts w:hint="default" w:ascii="Times New Roman" w:hAnsi="Times New Roman" w:eastAsia="宋体" w:cs="Times New Roman"/>
          <w:bCs/>
          <w:color w:val="auto"/>
          <w:spacing w:val="4"/>
          <w:sz w:val="24"/>
          <w:szCs w:val="22"/>
        </w:rPr>
        <w:t>用海方式包括透水构筑物和港池，申请用海总面积41.8983hm</w:t>
      </w:r>
      <w:r>
        <w:rPr>
          <w:rFonts w:hint="default" w:ascii="Times New Roman" w:hAnsi="Times New Roman" w:eastAsia="宋体" w:cs="Times New Roman"/>
          <w:bCs/>
          <w:color w:val="auto"/>
          <w:spacing w:val="4"/>
          <w:sz w:val="24"/>
          <w:szCs w:val="22"/>
          <w:vertAlign w:val="superscript"/>
        </w:rPr>
        <w:t>2</w:t>
      </w:r>
      <w:r>
        <w:rPr>
          <w:rFonts w:hint="default" w:ascii="Times New Roman" w:hAnsi="Times New Roman" w:eastAsia="宋体" w:cs="Times New Roman"/>
          <w:bCs/>
          <w:color w:val="auto"/>
          <w:spacing w:val="4"/>
          <w:sz w:val="24"/>
          <w:szCs w:val="22"/>
        </w:rPr>
        <w:t>，其中码头平台及栈桥（透水构筑物）用海面积36.977hm</w:t>
      </w:r>
      <w:r>
        <w:rPr>
          <w:rFonts w:hint="default" w:ascii="Times New Roman" w:hAnsi="Times New Roman" w:eastAsia="宋体" w:cs="Times New Roman"/>
          <w:bCs/>
          <w:color w:val="auto"/>
          <w:spacing w:val="4"/>
          <w:sz w:val="24"/>
          <w:szCs w:val="22"/>
          <w:vertAlign w:val="superscript"/>
        </w:rPr>
        <w:t>2</w:t>
      </w:r>
      <w:r>
        <w:rPr>
          <w:rFonts w:hint="default" w:ascii="Times New Roman" w:hAnsi="Times New Roman" w:eastAsia="宋体" w:cs="Times New Roman"/>
          <w:bCs/>
          <w:color w:val="auto"/>
          <w:spacing w:val="4"/>
          <w:sz w:val="24"/>
          <w:szCs w:val="22"/>
        </w:rPr>
        <w:t>，港池用海面积4.9213hm</w:t>
      </w:r>
      <w:r>
        <w:rPr>
          <w:rFonts w:hint="default" w:ascii="Times New Roman" w:hAnsi="Times New Roman" w:eastAsia="宋体" w:cs="Times New Roman"/>
          <w:bCs/>
          <w:color w:val="auto"/>
          <w:spacing w:val="4"/>
          <w:sz w:val="24"/>
          <w:szCs w:val="22"/>
          <w:vertAlign w:val="superscript"/>
        </w:rPr>
        <w:t>2</w:t>
      </w:r>
      <w:r>
        <w:rPr>
          <w:rFonts w:hint="default" w:ascii="Times New Roman" w:hAnsi="Times New Roman" w:eastAsia="宋体" w:cs="Times New Roman"/>
          <w:bCs/>
          <w:color w:val="auto"/>
          <w:spacing w:val="4"/>
          <w:sz w:val="24"/>
          <w:szCs w:val="22"/>
        </w:rPr>
        <w:t>。</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Style w:val="14"/>
          <w:rFonts w:hint="default" w:ascii="Times New Roman" w:hAnsi="Times New Roman" w:eastAsia="宋体" w:cs="Times New Roman"/>
          <w:color w:val="auto"/>
          <w:szCs w:val="24"/>
          <w:vertAlign w:val="baseline"/>
          <w:lang w:val="en-US" w:eastAsia="zh-CN"/>
        </w:rPr>
      </w:pPr>
      <w:r>
        <w:rPr>
          <w:rFonts w:hint="default" w:ascii="Times New Roman" w:hAnsi="Times New Roman" w:eastAsia="宋体" w:cs="Times New Roman"/>
          <w:bCs/>
          <w:color w:val="auto"/>
          <w:spacing w:val="4"/>
          <w:sz w:val="24"/>
          <w:szCs w:val="22"/>
        </w:rPr>
        <w:t>（3）陆域面积：</w:t>
      </w:r>
      <w:r>
        <w:rPr>
          <w:rFonts w:hint="default" w:ascii="Times New Roman" w:hAnsi="Times New Roman" w:eastAsia="宋体" w:cs="Times New Roman"/>
          <w:bCs/>
          <w:color w:val="auto"/>
          <w:spacing w:val="4"/>
          <w:sz w:val="24"/>
          <w:szCs w:val="22"/>
          <w:lang w:val="en-US" w:eastAsia="zh-CN"/>
        </w:rPr>
        <w:t>陆域形成面积不变，仍为</w:t>
      </w:r>
      <w:r>
        <w:rPr>
          <w:rStyle w:val="14"/>
          <w:rFonts w:hint="default" w:ascii="Times New Roman" w:hAnsi="Times New Roman" w:eastAsia="宋体" w:cs="Times New Roman"/>
          <w:color w:val="auto"/>
          <w:szCs w:val="24"/>
        </w:rPr>
        <w:t>18.4924万m</w:t>
      </w:r>
      <w:r>
        <w:rPr>
          <w:rStyle w:val="14"/>
          <w:rFonts w:hint="default" w:ascii="Times New Roman" w:hAnsi="Times New Roman" w:eastAsia="宋体" w:cs="Times New Roman"/>
          <w:color w:val="auto"/>
          <w:szCs w:val="24"/>
          <w:vertAlign w:val="superscript"/>
        </w:rPr>
        <w:t>2</w:t>
      </w:r>
      <w:r>
        <w:rPr>
          <w:rStyle w:val="14"/>
          <w:rFonts w:hint="default" w:ascii="Times New Roman" w:hAnsi="Times New Roman" w:eastAsia="宋体" w:cs="Times New Roman"/>
          <w:color w:val="auto"/>
          <w:szCs w:val="24"/>
          <w:vertAlign w:val="baseline"/>
          <w:lang w:val="en-US" w:eastAsia="zh-CN"/>
        </w:rPr>
        <w:t>。①堆场设置发生改变，原来设置钢材堆场、件杂货堆场、矿建堆场并设置机电设备、袋装化肥和袋装水泥仓库。本次仅设置件杂货堆场、矿建材料堆场，取消了仓库，钢材、机电设备、袋装水泥、袋装化肥均堆存在件杂货堆场内。②原环评不建设危废暂存间，拟依托21号泊位危废暂存间，本次调整新增了本泊位配套的危废暂存间，位于18号泊位后方陆域机修车间旁。变更前后陆域平面布置图见图1.1-1和图1.1-2。</w:t>
      </w:r>
    </w:p>
    <w:p>
      <w:pPr>
        <w:keepNext w:val="0"/>
        <w:keepLines w:val="0"/>
        <w:pageBreakBefore w:val="0"/>
        <w:widowControl/>
        <w:numPr>
          <w:ilvl w:val="0"/>
          <w:numId w:val="1"/>
        </w:numPr>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lang w:val="en-US" w:eastAsia="zh-CN"/>
        </w:rPr>
      </w:pPr>
      <w:r>
        <w:rPr>
          <w:rFonts w:hint="default" w:ascii="Times New Roman" w:hAnsi="Times New Roman" w:eastAsia="宋体" w:cs="Times New Roman"/>
          <w:bCs/>
          <w:color w:val="auto"/>
          <w:spacing w:val="4"/>
          <w:sz w:val="24"/>
          <w:szCs w:val="22"/>
        </w:rPr>
        <w:t>吞吐量：设计年吞吐量</w:t>
      </w:r>
      <w:r>
        <w:rPr>
          <w:rFonts w:hint="default" w:ascii="Times New Roman" w:hAnsi="Times New Roman" w:eastAsia="宋体" w:cs="Times New Roman"/>
          <w:bCs/>
          <w:color w:val="auto"/>
          <w:spacing w:val="4"/>
          <w:sz w:val="24"/>
          <w:szCs w:val="22"/>
          <w:lang w:val="en-US" w:eastAsia="zh-CN"/>
        </w:rPr>
        <w:t>不变，</w:t>
      </w:r>
      <w:r>
        <w:rPr>
          <w:rStyle w:val="14"/>
          <w:rFonts w:hint="default" w:ascii="Times New Roman" w:hAnsi="Times New Roman" w:eastAsia="宋体" w:cs="Times New Roman"/>
          <w:color w:val="auto"/>
          <w:szCs w:val="24"/>
          <w:lang w:val="en-US" w:eastAsia="zh-CN"/>
        </w:rPr>
        <w:t>仍为</w:t>
      </w:r>
      <w:r>
        <w:rPr>
          <w:rStyle w:val="14"/>
          <w:rFonts w:hint="default" w:ascii="Times New Roman" w:hAnsi="Times New Roman" w:eastAsia="宋体" w:cs="Times New Roman"/>
          <w:color w:val="auto"/>
          <w:szCs w:val="24"/>
        </w:rPr>
        <w:t>600万吨，</w:t>
      </w:r>
      <w:r>
        <w:rPr>
          <w:rFonts w:hint="default" w:ascii="Times New Roman" w:hAnsi="Times New Roman" w:eastAsia="宋体" w:cs="Times New Roman"/>
          <w:bCs/>
          <w:color w:val="auto"/>
          <w:spacing w:val="4"/>
          <w:sz w:val="24"/>
          <w:szCs w:val="22"/>
          <w:lang w:val="en-US" w:eastAsia="zh-CN"/>
        </w:rPr>
        <w:t>货种新增集装箱货种，调整后吞吐量为煤炭10万吨、矿建材料340万吨、钢材198万吨、袋装水泥26万吨、机电设备4万吨、袋装化肥10万吨、集装箱12万吨</w:t>
      </w:r>
      <w:r>
        <w:rPr>
          <w:rFonts w:hint="default" w:ascii="Times New Roman" w:hAnsi="Times New Roman" w:eastAsia="宋体" w:cs="Times New Roman"/>
          <w:bCs/>
          <w:color w:val="auto"/>
          <w:spacing w:val="4"/>
          <w:sz w:val="24"/>
          <w:szCs w:val="22"/>
        </w:rPr>
        <w:t>。</w:t>
      </w:r>
      <w:r>
        <w:rPr>
          <w:rFonts w:hint="default" w:ascii="Times New Roman" w:hAnsi="Times New Roman" w:eastAsia="宋体" w:cs="Times New Roman"/>
          <w:bCs/>
          <w:color w:val="auto"/>
          <w:spacing w:val="4"/>
          <w:sz w:val="24"/>
          <w:szCs w:val="22"/>
          <w:lang w:val="en-US" w:eastAsia="zh-CN"/>
        </w:rPr>
        <w:t>将原来的钢材吞吐量减少12万吨，调整为12万吨集装箱货种。</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lang w:val="en-US" w:eastAsia="zh-CN"/>
        </w:rPr>
      </w:pPr>
      <w:r>
        <w:rPr>
          <w:rFonts w:hint="default" w:ascii="Times New Roman" w:hAnsi="Times New Roman" w:eastAsia="宋体" w:cs="Times New Roman"/>
          <w:bCs/>
          <w:color w:val="auto"/>
          <w:spacing w:val="4"/>
          <w:sz w:val="24"/>
          <w:szCs w:val="22"/>
          <w:lang w:val="en-US" w:eastAsia="zh-CN"/>
        </w:rPr>
        <w:t>装卸工艺：①机电设备、袋装化肥、袋装水泥装卸工艺，堆场装卸由原来的</w:t>
      </w:r>
      <w:r>
        <w:rPr>
          <w:rFonts w:hint="default" w:ascii="Times New Roman" w:hAnsi="Times New Roman" w:eastAsia="宋体" w:cs="Times New Roman"/>
          <w:bCs/>
          <w:color w:val="auto"/>
          <w:spacing w:val="4"/>
          <w:sz w:val="24"/>
          <w:szCs w:val="22"/>
        </w:rPr>
        <w:t>叉式装卸车或轮胎吊</w:t>
      </w:r>
      <w:r>
        <w:rPr>
          <w:rFonts w:hint="default" w:ascii="Times New Roman" w:hAnsi="Times New Roman" w:eastAsia="宋体" w:cs="Times New Roman"/>
          <w:bCs/>
          <w:color w:val="auto"/>
          <w:spacing w:val="4"/>
          <w:sz w:val="24"/>
          <w:szCs w:val="22"/>
          <w:lang w:val="en-US" w:eastAsia="zh-CN"/>
        </w:rPr>
        <w:t>改为龙门吊，并取消了化肥和水泥仓库，用吨袋和全遮雨篷布覆盖，堆存在件杂货堆场。②煤炭装卸工艺：与原环评一致，不发生变动，仍为直装直取，不在港区堆存。③矿建材料装卸工艺：由原来的卡车直运改为皮带廊运输。④新增集装箱货种装卸工艺。</w:t>
      </w:r>
    </w:p>
    <w:p>
      <w:pPr>
        <w:pStyle w:val="2"/>
        <w:keepNext w:val="0"/>
        <w:keepLines w:val="0"/>
        <w:pageBreakBefore w:val="0"/>
        <w:widowControl/>
        <w:kinsoku/>
        <w:wordWrap/>
        <w:overflowPunct/>
        <w:topLinePunct w:val="0"/>
        <w:bidi w:val="0"/>
        <w:adjustRightInd w:val="0"/>
        <w:snapToGrid w:val="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lang w:val="en-US" w:eastAsia="zh-CN"/>
        </w:rPr>
        <w:t>将本次调整的内容与《港口建设项目重大变动清单（试行）》（环办〔2015〕52号）所列的重大变更情况进行对比分析。根据逐条核对，由于本次新增了集装箱货种，</w:t>
      </w:r>
      <w:r>
        <w:rPr>
          <w:rFonts w:hint="default" w:ascii="Times New Roman" w:hAnsi="Times New Roman" w:eastAsia="宋体" w:cs="Times New Roman"/>
          <w:bCs/>
          <w:color w:val="auto"/>
          <w:spacing w:val="4"/>
          <w:sz w:val="24"/>
          <w:szCs w:val="22"/>
        </w:rPr>
        <w:t>集装箱</w:t>
      </w:r>
      <w:r>
        <w:rPr>
          <w:rFonts w:hint="default" w:ascii="Times New Roman" w:hAnsi="Times New Roman" w:eastAsia="宋体" w:cs="Times New Roman"/>
          <w:bCs/>
          <w:color w:val="auto"/>
          <w:spacing w:val="4"/>
          <w:sz w:val="24"/>
          <w:szCs w:val="22"/>
          <w:lang w:val="en-US" w:eastAsia="zh-CN"/>
        </w:rPr>
        <w:t>货种主要装的为：</w:t>
      </w:r>
      <w:r>
        <w:rPr>
          <w:rFonts w:hint="default" w:ascii="Times New Roman" w:hAnsi="Times New Roman" w:eastAsia="宋体" w:cs="Times New Roman"/>
          <w:bCs/>
          <w:color w:val="auto"/>
          <w:spacing w:val="4"/>
          <w:sz w:val="24"/>
          <w:szCs w:val="22"/>
        </w:rPr>
        <w:t>新能源电池包及模块</w:t>
      </w:r>
      <w:r>
        <w:rPr>
          <w:rFonts w:hint="default" w:ascii="Times New Roman" w:hAnsi="Times New Roman" w:eastAsia="宋体" w:cs="Times New Roman"/>
          <w:bCs/>
          <w:color w:val="auto"/>
          <w:spacing w:val="4"/>
          <w:sz w:val="24"/>
          <w:szCs w:val="22"/>
          <w:lang w:eastAsia="zh-CN"/>
        </w:rPr>
        <w:t>（</w:t>
      </w:r>
      <w:r>
        <w:rPr>
          <w:rFonts w:hint="default" w:ascii="Times New Roman" w:hAnsi="Times New Roman" w:eastAsia="宋体" w:cs="Times New Roman"/>
          <w:bCs/>
          <w:color w:val="auto"/>
          <w:spacing w:val="4"/>
          <w:sz w:val="24"/>
          <w:szCs w:val="22"/>
          <w:lang w:val="en-US" w:eastAsia="zh-CN"/>
        </w:rPr>
        <w:t>即锂电池及储能柜</w:t>
      </w:r>
      <w:r>
        <w:rPr>
          <w:rFonts w:hint="default" w:ascii="Times New Roman" w:hAnsi="Times New Roman" w:eastAsia="宋体" w:cs="Times New Roman"/>
          <w:bCs/>
          <w:color w:val="auto"/>
          <w:spacing w:val="4"/>
          <w:sz w:val="24"/>
          <w:szCs w:val="22"/>
          <w:lang w:eastAsia="zh-CN"/>
        </w:rPr>
        <w:t>）</w:t>
      </w:r>
      <w:r>
        <w:rPr>
          <w:rFonts w:hint="default" w:ascii="Times New Roman" w:hAnsi="Times New Roman" w:eastAsia="宋体" w:cs="Times New Roman"/>
          <w:bCs/>
          <w:color w:val="auto"/>
          <w:spacing w:val="4"/>
          <w:sz w:val="24"/>
          <w:szCs w:val="22"/>
        </w:rPr>
        <w:t>、汽车安全气囊类、汽车安全带类及新能源汽车，其中汽车安全气囊类、汽车安全带类及新能源汽车均为常见货种，集装箱中新能源电池包</w:t>
      </w:r>
      <w:r>
        <w:rPr>
          <w:rFonts w:hint="default" w:ascii="Times New Roman" w:hAnsi="Times New Roman" w:eastAsia="宋体" w:cs="Times New Roman"/>
          <w:bCs/>
          <w:color w:val="auto"/>
          <w:spacing w:val="4"/>
          <w:sz w:val="24"/>
          <w:szCs w:val="22"/>
          <w:lang w:eastAsia="zh-CN"/>
        </w:rPr>
        <w:t>（</w:t>
      </w:r>
      <w:r>
        <w:rPr>
          <w:rFonts w:hint="default" w:ascii="Times New Roman" w:hAnsi="Times New Roman" w:eastAsia="宋体" w:cs="Times New Roman"/>
          <w:bCs/>
          <w:color w:val="auto"/>
          <w:spacing w:val="4"/>
          <w:sz w:val="24"/>
          <w:szCs w:val="22"/>
          <w:lang w:val="en-US" w:eastAsia="zh-CN"/>
        </w:rPr>
        <w:t>锂电池及储能柜</w:t>
      </w:r>
      <w:r>
        <w:rPr>
          <w:rFonts w:hint="default" w:ascii="Times New Roman" w:hAnsi="Times New Roman" w:eastAsia="宋体" w:cs="Times New Roman"/>
          <w:bCs/>
          <w:color w:val="auto"/>
          <w:spacing w:val="4"/>
          <w:sz w:val="24"/>
          <w:szCs w:val="22"/>
          <w:lang w:eastAsia="zh-CN"/>
        </w:rPr>
        <w:t>）</w:t>
      </w:r>
      <w:r>
        <w:rPr>
          <w:rFonts w:hint="default" w:ascii="Times New Roman" w:hAnsi="Times New Roman" w:eastAsia="宋体" w:cs="Times New Roman"/>
          <w:bCs/>
          <w:color w:val="auto"/>
          <w:spacing w:val="4"/>
          <w:sz w:val="24"/>
          <w:szCs w:val="22"/>
          <w:lang w:val="en-US" w:eastAsia="zh-CN"/>
        </w:rPr>
        <w:t>属于</w:t>
      </w:r>
      <w:r>
        <w:rPr>
          <w:rFonts w:hint="default" w:ascii="Times New Roman" w:hAnsi="Times New Roman" w:eastAsia="宋体" w:cs="Times New Roman"/>
          <w:color w:val="auto"/>
          <w:sz w:val="24"/>
          <w:szCs w:val="24"/>
          <w:lang w:val="en-US" w:eastAsia="zh-CN"/>
        </w:rPr>
        <w:t>危险货种</w:t>
      </w:r>
      <w:r>
        <w:rPr>
          <w:rFonts w:hint="default" w:ascii="Times New Roman" w:hAnsi="Times New Roman" w:eastAsia="宋体" w:cs="Times New Roman"/>
          <w:color w:val="auto"/>
          <w:sz w:val="24"/>
          <w:szCs w:val="24"/>
          <w:lang w:val="en-US" w:eastAsia="zh-CN"/>
        </w:rPr>
        <w:t>，属于环办〔2015〕52号文提到的重大变更情况，因此，项目调整属于重大变动，需重新环评。</w:t>
      </w:r>
    </w:p>
    <w:p>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4"/>
          <w:sz w:val="24"/>
          <w:szCs w:val="22"/>
          <w:u w:val="none"/>
          <w:lang w:eastAsia="zh-CN"/>
        </w:rPr>
      </w:pPr>
      <w:r>
        <w:rPr>
          <w:rFonts w:hint="default" w:ascii="Times New Roman" w:hAnsi="Times New Roman" w:eastAsia="宋体" w:cs="Times New Roman"/>
          <w:color w:val="auto"/>
          <w:kern w:val="0"/>
          <w:sz w:val="24"/>
          <w:szCs w:val="22"/>
        </w:rPr>
        <w:t>福建宁港港口投资发展有限公司</w:t>
      </w:r>
      <w:r>
        <w:rPr>
          <w:rFonts w:hint="default" w:ascii="Times New Roman" w:hAnsi="Times New Roman" w:eastAsia="宋体" w:cs="Times New Roman"/>
          <w:color w:val="auto"/>
          <w:kern w:val="0"/>
          <w:sz w:val="24"/>
        </w:rPr>
        <w:t>于</w:t>
      </w:r>
      <w:r>
        <w:rPr>
          <w:rFonts w:hint="default" w:ascii="Times New Roman" w:hAnsi="Times New Roman" w:eastAsia="宋体" w:cs="Times New Roman"/>
          <w:color w:val="auto"/>
          <w:kern w:val="0"/>
          <w:sz w:val="24"/>
          <w:highlight w:val="none"/>
        </w:rPr>
        <w:t>2023年</w:t>
      </w:r>
      <w:r>
        <w:rPr>
          <w:rFonts w:hint="default" w:ascii="Times New Roman" w:hAnsi="Times New Roman" w:eastAsia="宋体" w:cs="Times New Roman"/>
          <w:color w:val="auto"/>
          <w:kern w:val="0"/>
          <w:sz w:val="24"/>
          <w:highlight w:val="none"/>
          <w:lang w:val="en-US" w:eastAsia="zh-CN"/>
        </w:rPr>
        <w:t>1</w:t>
      </w:r>
      <w:r>
        <w:rPr>
          <w:rFonts w:hint="eastAsia"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月</w:t>
      </w:r>
      <w:r>
        <w:rPr>
          <w:rFonts w:hint="eastAsia" w:ascii="Times New Roman" w:hAnsi="Times New Roman" w:eastAsia="宋体"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日</w:t>
      </w:r>
      <w:r>
        <w:rPr>
          <w:rFonts w:hint="default" w:ascii="Times New Roman" w:hAnsi="Times New Roman" w:eastAsia="宋体" w:cs="Times New Roman"/>
          <w:color w:val="auto"/>
          <w:kern w:val="0"/>
          <w:sz w:val="24"/>
        </w:rPr>
        <w:t>正式委托</w:t>
      </w:r>
      <w:r>
        <w:rPr>
          <w:rFonts w:hint="eastAsia" w:ascii="Times New Roman" w:hAnsi="Times New Roman" w:eastAsia="宋体" w:cs="Times New Roman"/>
          <w:color w:val="auto"/>
          <w:kern w:val="0"/>
          <w:sz w:val="24"/>
          <w:lang w:val="en-US" w:eastAsia="zh-CN"/>
        </w:rPr>
        <w:t>睿柯环境工程有限公司</w:t>
      </w:r>
      <w:r>
        <w:rPr>
          <w:rFonts w:hint="default" w:ascii="Times New Roman" w:hAnsi="Times New Roman" w:eastAsia="宋体" w:cs="Times New Roman"/>
          <w:color w:val="auto"/>
          <w:kern w:val="0"/>
          <w:sz w:val="24"/>
        </w:rPr>
        <w:t>承担该项目的环境影响评价工作。</w:t>
      </w:r>
      <w:r>
        <w:rPr>
          <w:rFonts w:hint="default" w:ascii="Times New Roman" w:hAnsi="Times New Roman" w:eastAsia="宋体" w:cs="Times New Roman"/>
          <w:color w:val="auto"/>
          <w:kern w:val="0"/>
          <w:sz w:val="24"/>
          <w:szCs w:val="22"/>
        </w:rPr>
        <w:t>于202</w:t>
      </w:r>
      <w:r>
        <w:rPr>
          <w:rFonts w:hint="default" w:ascii="Times New Roman" w:hAnsi="Times New Roman" w:eastAsia="宋体" w:cs="Times New Roman"/>
          <w:color w:val="auto"/>
          <w:kern w:val="0"/>
          <w:sz w:val="24"/>
          <w:szCs w:val="22"/>
          <w:lang w:val="en-US" w:eastAsia="zh-CN"/>
        </w:rPr>
        <w:t>4</w:t>
      </w:r>
      <w:r>
        <w:rPr>
          <w:rFonts w:hint="default" w:ascii="Times New Roman" w:hAnsi="Times New Roman" w:eastAsia="宋体" w:cs="Times New Roman"/>
          <w:color w:val="auto"/>
          <w:kern w:val="0"/>
          <w:sz w:val="24"/>
          <w:szCs w:val="22"/>
        </w:rPr>
        <w:t>年</w:t>
      </w:r>
      <w:r>
        <w:rPr>
          <w:rFonts w:hint="default" w:ascii="Times New Roman" w:hAnsi="Times New Roman" w:eastAsia="宋体" w:cs="Times New Roman"/>
          <w:color w:val="auto"/>
          <w:kern w:val="0"/>
          <w:sz w:val="24"/>
          <w:szCs w:val="22"/>
          <w:lang w:val="en-US" w:eastAsia="zh-CN"/>
        </w:rPr>
        <w:t>1</w:t>
      </w:r>
      <w:r>
        <w:rPr>
          <w:rFonts w:hint="default" w:ascii="Times New Roman" w:hAnsi="Times New Roman" w:eastAsia="宋体" w:cs="Times New Roman"/>
          <w:color w:val="auto"/>
          <w:kern w:val="0"/>
          <w:sz w:val="24"/>
          <w:szCs w:val="22"/>
        </w:rPr>
        <w:t>月编制完成了《</w:t>
      </w:r>
      <w:r>
        <w:rPr>
          <w:rFonts w:hint="default" w:ascii="Times New Roman" w:hAnsi="Times New Roman" w:eastAsia="宋体" w:cs="Times New Roman"/>
          <w:color w:val="auto"/>
          <w:kern w:val="0"/>
          <w:sz w:val="24"/>
          <w:szCs w:val="22"/>
          <w:lang w:eastAsia="zh-CN"/>
        </w:rPr>
        <w:t>福州港三都澳港区漳湾作业区18至20号泊位工程（</w:t>
      </w:r>
      <w:r>
        <w:rPr>
          <w:rFonts w:hint="default" w:ascii="Times New Roman" w:hAnsi="Times New Roman" w:eastAsia="宋体" w:cs="Times New Roman"/>
          <w:color w:val="auto"/>
          <w:kern w:val="0"/>
          <w:sz w:val="24"/>
          <w:szCs w:val="22"/>
          <w:lang w:val="en-US" w:eastAsia="zh-CN"/>
        </w:rPr>
        <w:t>变更</w:t>
      </w:r>
      <w:r>
        <w:rPr>
          <w:rFonts w:hint="default" w:ascii="Times New Roman" w:hAnsi="Times New Roman" w:eastAsia="宋体" w:cs="Times New Roman"/>
          <w:color w:val="auto"/>
          <w:kern w:val="0"/>
          <w:sz w:val="24"/>
          <w:szCs w:val="22"/>
          <w:lang w:eastAsia="zh-CN"/>
        </w:rPr>
        <w:t>）</w:t>
      </w:r>
      <w:r>
        <w:rPr>
          <w:rFonts w:hint="default" w:ascii="Times New Roman" w:hAnsi="Times New Roman" w:eastAsia="宋体" w:cs="Times New Roman"/>
          <w:color w:val="auto"/>
          <w:kern w:val="0"/>
          <w:sz w:val="24"/>
          <w:szCs w:val="22"/>
        </w:rPr>
        <w:t>环境影响报告书（送审稿）》。</w:t>
      </w:r>
    </w:p>
    <w:p>
      <w:pPr>
        <w:keepNext w:val="0"/>
        <w:keepLines w:val="0"/>
        <w:pageBreakBefore w:val="0"/>
        <w:widowControl/>
        <w:kinsoku/>
        <w:wordWrap/>
        <w:overflowPunct/>
        <w:topLinePunct w:val="0"/>
        <w:bidi w:val="0"/>
        <w:adjustRightInd w:val="0"/>
        <w:snapToGrid w:val="0"/>
        <w:spacing w:line="360" w:lineRule="auto"/>
        <w:ind w:firstLine="496" w:firstLineChars="200"/>
        <w:jc w:val="both"/>
        <w:textAlignment w:val="auto"/>
        <w:rPr>
          <w:rFonts w:hint="default" w:ascii="Times New Roman" w:hAnsi="Times New Roman" w:eastAsia="宋体" w:cs="Times New Roman"/>
          <w:bCs/>
          <w:color w:val="auto"/>
          <w:spacing w:val="4"/>
          <w:sz w:val="24"/>
          <w:szCs w:val="22"/>
        </w:rPr>
      </w:pPr>
      <w:r>
        <w:rPr>
          <w:rFonts w:hint="default" w:ascii="Times New Roman" w:hAnsi="Times New Roman" w:eastAsia="宋体" w:cs="Times New Roman"/>
          <w:bCs/>
          <w:color w:val="auto"/>
          <w:spacing w:val="4"/>
          <w:sz w:val="24"/>
          <w:szCs w:val="22"/>
        </w:rPr>
        <w:t>根据《中华人民共和国环境保护法》、《中华人民共和国环境影响评价法》 要求，我单位委托了</w:t>
      </w:r>
      <w:r>
        <w:rPr>
          <w:rFonts w:hint="eastAsia" w:ascii="Times New Roman" w:hAnsi="Times New Roman" w:eastAsia="宋体" w:cs="Times New Roman"/>
          <w:color w:val="auto"/>
          <w:kern w:val="0"/>
          <w:sz w:val="24"/>
          <w:lang w:val="en-US" w:eastAsia="zh-CN"/>
        </w:rPr>
        <w:t>睿柯环境工程有限公司</w:t>
      </w:r>
      <w:r>
        <w:rPr>
          <w:rFonts w:hint="default" w:ascii="Times New Roman" w:hAnsi="Times New Roman" w:eastAsia="宋体" w:cs="Times New Roman"/>
          <w:bCs/>
          <w:color w:val="auto"/>
          <w:spacing w:val="4"/>
          <w:sz w:val="24"/>
          <w:szCs w:val="22"/>
        </w:rPr>
        <w:t>开展本项目环境影响报告书编制工作。为保障工程周边公众环境保护知情权、参与权、表达权和监督权，依据《环境影响评价公众参与办法》规定，我公司组织开展了本项目环境影响评价公众参与工作，通过网络平台、</w:t>
      </w:r>
      <w:r>
        <w:rPr>
          <w:rFonts w:hint="eastAsia" w:ascii="Times New Roman" w:hAnsi="Times New Roman" w:eastAsia="宋体" w:cs="Times New Roman"/>
          <w:kern w:val="0"/>
          <w:sz w:val="24"/>
          <w:szCs w:val="24"/>
          <w:highlight w:val="none"/>
          <w:u w:val="none"/>
          <w:lang w:val="en-US" w:eastAsia="zh-CN"/>
        </w:rPr>
        <w:t>福建法治报</w:t>
      </w:r>
      <w:r>
        <w:rPr>
          <w:rFonts w:hint="default" w:ascii="Times New Roman" w:hAnsi="Times New Roman" w:eastAsia="宋体" w:cs="Times New Roman"/>
          <w:bCs/>
          <w:color w:val="auto"/>
          <w:spacing w:val="4"/>
          <w:sz w:val="24"/>
          <w:szCs w:val="22"/>
        </w:rPr>
        <w:t>、建设项目所在地张贴公告等方式广泛征求公众意见进行了公众意见调查，并就相关工作情况编制了环境影响评价公众参与说明。</w:t>
      </w:r>
    </w:p>
    <w:p>
      <w:pPr>
        <w:pStyle w:val="2"/>
        <w:rPr>
          <w:rFonts w:hint="default" w:ascii="Times New Roman" w:hAnsi="Times New Roman" w:eastAsia="宋体" w:cs="Times New Roman"/>
          <w:bCs/>
          <w:spacing w:val="4"/>
          <w:sz w:val="24"/>
          <w:szCs w:val="22"/>
          <w:u w:val="none"/>
          <w:lang w:eastAsia="zh-CN"/>
        </w:rPr>
      </w:pPr>
    </w:p>
    <w:p>
      <w:pPr>
        <w:rPr>
          <w:rFonts w:hint="default" w:ascii="Times New Roman" w:hAnsi="Times New Roman" w:eastAsia="宋体" w:cs="Times New Roman"/>
          <w:bCs/>
          <w:spacing w:val="4"/>
          <w:sz w:val="24"/>
          <w:szCs w:val="22"/>
        </w:rPr>
      </w:pPr>
      <w:r>
        <w:rPr>
          <w:rFonts w:hint="default" w:ascii="Times New Roman" w:hAnsi="Times New Roman" w:eastAsia="宋体" w:cs="Times New Roman"/>
          <w:bCs/>
          <w:spacing w:val="4"/>
          <w:sz w:val="24"/>
          <w:szCs w:val="22"/>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outlineLvl w:val="0"/>
        <w:rPr>
          <w:rFonts w:hint="default" w:ascii="Times New Roman" w:hAnsi="Times New Roman" w:eastAsia="宋体" w:cs="Times New Roman"/>
          <w:b/>
          <w:bCs/>
          <w:color w:val="373535"/>
          <w:sz w:val="39"/>
          <w:lang w:val="en-US" w:eastAsia="zh-CN"/>
        </w:rPr>
      </w:pPr>
      <w:bookmarkStart w:id="1" w:name="_Toc11609"/>
      <w:r>
        <w:rPr>
          <w:rFonts w:hint="default" w:ascii="Times New Roman" w:hAnsi="Times New Roman" w:eastAsia="宋体" w:cs="Times New Roman"/>
          <w:b/>
          <w:bCs/>
          <w:color w:val="373535"/>
          <w:sz w:val="39"/>
          <w:lang w:val="en-US" w:eastAsia="zh-CN"/>
        </w:rPr>
        <w:t>2  首次环境影响评价信息公开情况</w:t>
      </w:r>
      <w:bookmarkEnd w:id="1"/>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2" w:name="_Toc31916"/>
      <w:r>
        <w:rPr>
          <w:rFonts w:hint="default" w:ascii="Times New Roman" w:hAnsi="Times New Roman" w:eastAsia="宋体" w:cs="Times New Roman"/>
          <w:b/>
          <w:bCs/>
          <w:sz w:val="28"/>
          <w:szCs w:val="28"/>
          <w:lang w:val="en-US" w:eastAsia="zh-CN"/>
        </w:rPr>
        <w:t xml:space="preserve">2.1 </w:t>
      </w:r>
      <w:r>
        <w:rPr>
          <w:rFonts w:hint="eastAsia" w:ascii="Times New Roman" w:hAnsi="Times New Roman" w:cs="Times New Roman"/>
          <w:b/>
          <w:bCs/>
          <w:sz w:val="28"/>
          <w:szCs w:val="28"/>
          <w:lang w:val="en-US" w:eastAsia="zh-CN"/>
        </w:rPr>
        <w:t>首次公示经过</w:t>
      </w:r>
      <w:bookmarkEnd w:id="2"/>
    </w:p>
    <w:p>
      <w:pPr>
        <w:keepNext w:val="0"/>
        <w:keepLines w:val="0"/>
        <w:pageBreakBefore w:val="0"/>
        <w:widowControl/>
        <w:kinsoku/>
        <w:wordWrap/>
        <w:overflowPunct/>
        <w:topLinePunct w:val="0"/>
        <w:autoSpaceDE/>
        <w:autoSpaceDN/>
        <w:bidi w:val="0"/>
        <w:adjustRightInd/>
        <w:snapToGrid/>
        <w:spacing w:line="360" w:lineRule="auto"/>
        <w:ind w:left="0" w:leftChars="0"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w:t>
      </w:r>
      <w:r>
        <w:rPr>
          <w:rFonts w:hint="eastAsia" w:ascii="Times New Roman" w:hAnsi="Times New Roman" w:eastAsia="宋体" w:cs="Times New Roman"/>
          <w:color w:val="auto"/>
          <w:w w:val="105"/>
          <w:sz w:val="24"/>
          <w:szCs w:val="24"/>
          <w:lang w:val="en-US" w:eastAsia="zh-CN"/>
        </w:rPr>
        <w:t>于</w:t>
      </w:r>
      <w:r>
        <w:rPr>
          <w:rFonts w:hint="default" w:ascii="Times New Roman" w:hAnsi="Times New Roman" w:eastAsia="宋体" w:cs="Times New Roman"/>
          <w:color w:val="auto"/>
          <w:w w:val="105"/>
          <w:sz w:val="24"/>
          <w:szCs w:val="24"/>
        </w:rPr>
        <w:t>20</w:t>
      </w:r>
      <w:r>
        <w:rPr>
          <w:rFonts w:hint="eastAsia" w:ascii="Times New Roman" w:hAnsi="Times New Roman" w:eastAsia="宋体" w:cs="Times New Roman"/>
          <w:color w:val="auto"/>
          <w:w w:val="105"/>
          <w:sz w:val="24"/>
          <w:szCs w:val="24"/>
          <w:lang w:val="en-US" w:eastAsia="zh-CN"/>
        </w:rPr>
        <w:t>23</w:t>
      </w:r>
      <w:r>
        <w:rPr>
          <w:rFonts w:hint="default" w:ascii="Times New Roman" w:hAnsi="Times New Roman" w:eastAsia="宋体" w:cs="Times New Roman"/>
          <w:color w:val="auto"/>
          <w:w w:val="105"/>
          <w:sz w:val="24"/>
          <w:szCs w:val="24"/>
        </w:rPr>
        <w:t>年</w:t>
      </w:r>
      <w:r>
        <w:rPr>
          <w:rFonts w:hint="eastAsia" w:ascii="Times New Roman" w:hAnsi="Times New Roman" w:eastAsia="宋体" w:cs="Times New Roman"/>
          <w:color w:val="auto"/>
          <w:w w:val="105"/>
          <w:sz w:val="24"/>
          <w:szCs w:val="24"/>
          <w:lang w:val="en-US" w:eastAsia="zh-CN"/>
        </w:rPr>
        <w:t>12</w:t>
      </w:r>
      <w:r>
        <w:rPr>
          <w:rFonts w:hint="default" w:ascii="Times New Roman" w:hAnsi="Times New Roman" w:eastAsia="宋体" w:cs="Times New Roman"/>
          <w:color w:val="auto"/>
          <w:w w:val="105"/>
          <w:sz w:val="24"/>
          <w:szCs w:val="24"/>
        </w:rPr>
        <w:t>月</w:t>
      </w:r>
      <w:r>
        <w:rPr>
          <w:rFonts w:hint="eastAsia" w:ascii="Times New Roman" w:hAnsi="Times New Roman" w:eastAsia="宋体" w:cs="Times New Roman"/>
          <w:color w:val="auto"/>
          <w:w w:val="105"/>
          <w:sz w:val="24"/>
          <w:szCs w:val="24"/>
          <w:lang w:val="en-US" w:eastAsia="zh-CN"/>
        </w:rPr>
        <w:t>5</w:t>
      </w:r>
      <w:r>
        <w:rPr>
          <w:rFonts w:hint="default" w:ascii="Times New Roman" w:hAnsi="Times New Roman" w:eastAsia="宋体" w:cs="Times New Roman"/>
          <w:color w:val="auto"/>
          <w:w w:val="105"/>
          <w:sz w:val="24"/>
          <w:szCs w:val="24"/>
        </w:rPr>
        <w:t>日出</w:t>
      </w:r>
      <w:r>
        <w:rPr>
          <w:rFonts w:hint="default" w:ascii="Times New Roman" w:hAnsi="Times New Roman" w:eastAsia="宋体" w:cs="Times New Roman"/>
          <w:color w:val="373535"/>
          <w:w w:val="105"/>
          <w:sz w:val="24"/>
          <w:szCs w:val="24"/>
        </w:rPr>
        <w:t>具委托书，委托</w:t>
      </w:r>
      <w:r>
        <w:rPr>
          <w:rFonts w:hint="eastAsia" w:ascii="Times New Roman" w:hAnsi="Times New Roman" w:eastAsia="宋体" w:cs="Times New Roman"/>
          <w:color w:val="373535"/>
          <w:w w:val="105"/>
          <w:sz w:val="24"/>
          <w:szCs w:val="24"/>
          <w:lang w:eastAsia="zh-CN"/>
        </w:rPr>
        <w:t>睿柯环境工程有限公司</w:t>
      </w:r>
      <w:r>
        <w:rPr>
          <w:rFonts w:hint="default" w:ascii="Times New Roman" w:hAnsi="Times New Roman" w:eastAsia="宋体" w:cs="Times New Roman"/>
          <w:color w:val="373535"/>
          <w:sz w:val="24"/>
          <w:szCs w:val="24"/>
        </w:rPr>
        <w:t>开展本项目环境影响评价工作，在委托后第</w:t>
      </w: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个工作日</w:t>
      </w:r>
      <w:r>
        <w:rPr>
          <w:rFonts w:hint="default" w:ascii="Times New Roman" w:hAnsi="Times New Roman" w:eastAsia="宋体" w:cs="Times New Roman"/>
          <w:color w:val="373535"/>
          <w:sz w:val="24"/>
          <w:szCs w:val="24"/>
        </w:rPr>
        <w:t>即进行了首次环境影响评</w:t>
      </w:r>
      <w:r>
        <w:rPr>
          <w:rFonts w:hint="default" w:ascii="Times New Roman" w:hAnsi="Times New Roman" w:eastAsia="宋体" w:cs="Times New Roman"/>
          <w:color w:val="373535"/>
          <w:w w:val="105"/>
          <w:sz w:val="24"/>
          <w:szCs w:val="24"/>
        </w:rPr>
        <w:t>价信息公开，公开时间符合《环境影响评价公众参与办法》要求。</w:t>
      </w:r>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3" w:name="_Toc32698"/>
      <w:r>
        <w:rPr>
          <w:rFonts w:hint="eastAsia" w:ascii="Times New Roman" w:hAnsi="Times New Roman" w:eastAsia="宋体" w:cs="Times New Roman"/>
          <w:b/>
          <w:bCs/>
          <w:sz w:val="28"/>
          <w:szCs w:val="28"/>
          <w:lang w:val="en-US" w:eastAsia="zh-CN"/>
        </w:rPr>
        <w:t>2.2 公示内容</w:t>
      </w:r>
      <w:bookmarkEnd w:id="3"/>
    </w:p>
    <w:p>
      <w:pPr>
        <w:keepNext w:val="0"/>
        <w:keepLines w:val="0"/>
        <w:pageBreakBefore w:val="0"/>
        <w:widowControl/>
        <w:kinsoku/>
        <w:wordWrap/>
        <w:overflowPunct/>
        <w:topLinePunct w:val="0"/>
        <w:autoSpaceDE/>
        <w:autoSpaceDN/>
        <w:bidi w:val="0"/>
        <w:adjustRightInd/>
        <w:snapToGrid/>
        <w:spacing w:line="360" w:lineRule="auto"/>
        <w:ind w:left="0" w:leftChars="0"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网站公开了下列信息：</w:t>
      </w:r>
    </w:p>
    <w:p>
      <w:pPr>
        <w:keepNext w:val="0"/>
        <w:keepLines w:val="0"/>
        <w:pageBreakBefore w:val="0"/>
        <w:widowControl/>
        <w:kinsoku/>
        <w:wordWrap/>
        <w:overflowPunct/>
        <w:topLinePunct w:val="0"/>
        <w:autoSpaceDE/>
        <w:autoSpaceDN/>
        <w:bidi w:val="0"/>
        <w:adjustRightInd/>
        <w:snapToGrid/>
        <w:spacing w:line="360" w:lineRule="auto"/>
        <w:ind w:left="0" w:leftChars="0" w:right="0" w:firstLine="504"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373535"/>
          <w:w w:val="105"/>
          <w:sz w:val="24"/>
          <w:szCs w:val="24"/>
        </w:rPr>
        <w:t>（一）本次建设项目名称、选址选线、建设内容等基本情况；</w:t>
      </w:r>
    </w:p>
    <w:p>
      <w:pPr>
        <w:keepNext w:val="0"/>
        <w:keepLines w:val="0"/>
        <w:pageBreakBefore w:val="0"/>
        <w:widowControl/>
        <w:kinsoku/>
        <w:wordWrap/>
        <w:overflowPunct/>
        <w:topLinePunct w:val="0"/>
        <w:autoSpaceDE/>
        <w:autoSpaceDN/>
        <w:bidi w:val="0"/>
        <w:adjustRightInd/>
        <w:snapToGrid/>
        <w:spacing w:line="360" w:lineRule="auto"/>
        <w:ind w:left="0" w:leftChars="0" w:right="0" w:firstLine="504"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373535"/>
          <w:w w:val="105"/>
          <w:sz w:val="24"/>
          <w:szCs w:val="24"/>
        </w:rPr>
        <w:t>（二）我单位名称和联系方式；</w:t>
      </w:r>
    </w:p>
    <w:p>
      <w:pPr>
        <w:keepNext w:val="0"/>
        <w:keepLines w:val="0"/>
        <w:pageBreakBefore w:val="0"/>
        <w:widowControl/>
        <w:kinsoku/>
        <w:wordWrap/>
        <w:overflowPunct/>
        <w:topLinePunct w:val="0"/>
        <w:autoSpaceDE/>
        <w:autoSpaceDN/>
        <w:bidi w:val="0"/>
        <w:adjustRightInd/>
        <w:snapToGrid/>
        <w:spacing w:line="360" w:lineRule="auto"/>
        <w:ind w:left="0" w:leftChars="0" w:right="0" w:firstLine="504"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373535"/>
          <w:w w:val="105"/>
          <w:sz w:val="24"/>
          <w:szCs w:val="24"/>
        </w:rPr>
        <w:t>（三）环境影响报告书编制单位的名称，即</w:t>
      </w:r>
      <w:r>
        <w:rPr>
          <w:rFonts w:hint="eastAsia" w:ascii="Times New Roman" w:hAnsi="Times New Roman" w:eastAsia="宋体" w:cs="Times New Roman"/>
          <w:color w:val="373535"/>
          <w:w w:val="105"/>
          <w:sz w:val="24"/>
          <w:szCs w:val="24"/>
          <w:lang w:eastAsia="zh-CN"/>
        </w:rPr>
        <w:t>睿柯环境工程有限公司</w:t>
      </w:r>
      <w:r>
        <w:rPr>
          <w:rFonts w:hint="default" w:ascii="Times New Roman" w:hAnsi="Times New Roman" w:eastAsia="宋体" w:cs="Times New Roman"/>
          <w:color w:val="373535"/>
          <w:w w:val="105"/>
          <w:sz w:val="24"/>
          <w:szCs w:val="24"/>
        </w:rPr>
        <w:t>；</w:t>
      </w:r>
    </w:p>
    <w:p>
      <w:pPr>
        <w:spacing w:before="0" w:line="360" w:lineRule="auto"/>
        <w:ind w:right="0" w:firstLine="504"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color w:val="373535"/>
          <w:w w:val="105"/>
          <w:sz w:val="24"/>
          <w:szCs w:val="24"/>
        </w:rPr>
        <w:t>（四）公众意见表的网络链接；</w:t>
      </w:r>
    </w:p>
    <w:p>
      <w:pPr>
        <w:spacing w:before="1" w:line="360" w:lineRule="auto"/>
        <w:ind w:right="0" w:firstLine="504"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color w:val="373535"/>
          <w:w w:val="105"/>
          <w:sz w:val="24"/>
          <w:szCs w:val="24"/>
        </w:rPr>
        <w:t>（五）提交公众意见表的方式和途径。</w:t>
      </w:r>
    </w:p>
    <w:p>
      <w:pPr>
        <w:spacing w:before="1" w:line="360" w:lineRule="auto"/>
        <w:ind w:right="0" w:firstLine="504" w:firstLineChars="200"/>
        <w:jc w:val="both"/>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内容均符合《环境影响评价公众参与办法》要求。</w:t>
      </w:r>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4" w:name="_Toc31279"/>
      <w:r>
        <w:rPr>
          <w:rFonts w:hint="default" w:ascii="Times New Roman" w:hAnsi="Times New Roman" w:eastAsia="宋体" w:cs="Times New Roman"/>
          <w:b/>
          <w:bCs/>
          <w:sz w:val="28"/>
          <w:szCs w:val="28"/>
          <w:lang w:val="en-US" w:eastAsia="zh-CN"/>
        </w:rPr>
        <w:t>2.</w:t>
      </w:r>
      <w:r>
        <w:rPr>
          <w:rFonts w:hint="eastAsia" w:ascii="Times New Roman" w:hAnsi="Times New Roman" w:cs="Times New Roman"/>
          <w:b/>
          <w:bCs/>
          <w:sz w:val="28"/>
          <w:szCs w:val="28"/>
          <w:lang w:val="en-US" w:eastAsia="zh-CN"/>
        </w:rPr>
        <w:t>3</w:t>
      </w:r>
      <w:r>
        <w:rPr>
          <w:rFonts w:hint="default" w:ascii="Times New Roman" w:hAnsi="Times New Roman" w:eastAsia="宋体" w:cs="Times New Roman"/>
          <w:b/>
          <w:bCs/>
          <w:sz w:val="28"/>
          <w:szCs w:val="28"/>
          <w:lang w:val="en-US" w:eastAsia="zh-CN"/>
        </w:rPr>
        <w:t xml:space="preserve"> 公开方式</w:t>
      </w:r>
      <w:bookmarkEnd w:id="4"/>
    </w:p>
    <w:p>
      <w:pPr>
        <w:spacing w:before="1" w:line="360" w:lineRule="auto"/>
        <w:ind w:right="0" w:firstLine="504" w:firstLineChars="200"/>
        <w:jc w:val="both"/>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w:t>
      </w:r>
      <w:r>
        <w:rPr>
          <w:rFonts w:hint="eastAsia" w:ascii="Times New Roman" w:hAnsi="Times New Roman" w:eastAsia="宋体" w:cs="Times New Roman"/>
          <w:color w:val="373535"/>
          <w:w w:val="105"/>
          <w:sz w:val="24"/>
          <w:szCs w:val="24"/>
          <w:lang w:val="en-US" w:eastAsia="zh-CN"/>
        </w:rPr>
        <w:t>于2023</w:t>
      </w:r>
      <w:r>
        <w:rPr>
          <w:rFonts w:hint="default" w:ascii="Times New Roman" w:hAnsi="Times New Roman" w:eastAsia="宋体" w:cs="Times New Roman"/>
          <w:color w:val="373535"/>
          <w:w w:val="105"/>
          <w:sz w:val="24"/>
          <w:szCs w:val="24"/>
        </w:rPr>
        <w:t>年</w:t>
      </w:r>
      <w:r>
        <w:rPr>
          <w:rFonts w:hint="eastAsia" w:ascii="Times New Roman" w:hAnsi="Times New Roman" w:eastAsia="宋体" w:cs="Times New Roman"/>
          <w:color w:val="373535"/>
          <w:w w:val="105"/>
          <w:sz w:val="24"/>
          <w:szCs w:val="24"/>
          <w:lang w:val="en-US" w:eastAsia="zh-CN"/>
        </w:rPr>
        <w:t>12</w:t>
      </w:r>
      <w:r>
        <w:rPr>
          <w:rFonts w:hint="default" w:ascii="Times New Roman" w:hAnsi="Times New Roman" w:eastAsia="宋体" w:cs="Times New Roman"/>
          <w:color w:val="373535"/>
          <w:w w:val="105"/>
          <w:sz w:val="24"/>
          <w:szCs w:val="24"/>
        </w:rPr>
        <w:t>月</w:t>
      </w:r>
      <w:r>
        <w:rPr>
          <w:rFonts w:hint="eastAsia" w:ascii="Times New Roman" w:hAnsi="Times New Roman" w:eastAsia="宋体" w:cs="Times New Roman"/>
          <w:color w:val="373535"/>
          <w:w w:val="105"/>
          <w:sz w:val="24"/>
          <w:szCs w:val="24"/>
          <w:lang w:val="en-US" w:eastAsia="zh-CN"/>
        </w:rPr>
        <w:t>6</w:t>
      </w:r>
      <w:r>
        <w:rPr>
          <w:rFonts w:hint="default" w:ascii="Times New Roman" w:hAnsi="Times New Roman" w:eastAsia="宋体" w:cs="Times New Roman"/>
          <w:color w:val="373535"/>
          <w:w w:val="105"/>
          <w:sz w:val="24"/>
          <w:szCs w:val="24"/>
        </w:rPr>
        <w:t>日首次在</w:t>
      </w:r>
      <w:r>
        <w:rPr>
          <w:rFonts w:hint="eastAsia" w:ascii="Times New Roman" w:hAnsi="Times New Roman" w:eastAsia="宋体" w:cs="Times New Roman"/>
          <w:color w:val="373535"/>
          <w:w w:val="105"/>
          <w:sz w:val="24"/>
          <w:szCs w:val="24"/>
          <w:lang w:val="en-US" w:eastAsia="zh-CN"/>
        </w:rPr>
        <w:t>宁德市港务集团有限公司</w:t>
      </w:r>
      <w:r>
        <w:rPr>
          <w:rFonts w:hint="default" w:ascii="Times New Roman" w:hAnsi="Times New Roman" w:eastAsia="宋体" w:cs="Times New Roman"/>
          <w:color w:val="373535"/>
          <w:w w:val="105"/>
          <w:sz w:val="24"/>
          <w:szCs w:val="24"/>
        </w:rPr>
        <w:t>网站进行了环境影响评价信息公开，具体网址为：</w:t>
      </w:r>
    </w:p>
    <w:p>
      <w:pPr>
        <w:spacing w:before="1" w:line="360" w:lineRule="auto"/>
        <w:ind w:right="0" w:firstLine="504" w:firstLineChars="200"/>
        <w:jc w:val="both"/>
        <w:rPr>
          <w:rFonts w:hint="eastAsia" w:ascii="Times New Roman" w:hAnsi="Times New Roman" w:eastAsia="宋体" w:cs="Times New Roman"/>
          <w:color w:val="373535"/>
          <w:w w:val="105"/>
          <w:sz w:val="24"/>
          <w:szCs w:val="24"/>
          <w:lang w:eastAsia="zh-CN"/>
        </w:rPr>
      </w:pPr>
      <w:r>
        <w:rPr>
          <w:rFonts w:hint="default" w:ascii="Times New Roman" w:hAnsi="Times New Roman" w:eastAsia="宋体" w:cs="Times New Roman"/>
          <w:color w:val="373535"/>
          <w:w w:val="105"/>
          <w:sz w:val="24"/>
          <w:szCs w:val="24"/>
        </w:rPr>
        <w:t>https://www.ndgw.net/view.asp?id=1180</w:t>
      </w:r>
    </w:p>
    <w:p>
      <w:pPr>
        <w:spacing w:before="1" w:line="360" w:lineRule="auto"/>
        <w:ind w:right="0" w:firstLine="504" w:firstLineChars="200"/>
        <w:jc w:val="both"/>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截图如下：</w:t>
      </w:r>
    </w:p>
    <w:p>
      <w:pPr>
        <w:pStyle w:val="2"/>
        <w:rPr>
          <w:rFonts w:hint="default"/>
          <w:lang w:val="en-US" w:eastAsia="zh-CN"/>
        </w:rPr>
      </w:pPr>
    </w:p>
    <w:p>
      <w:pPr>
        <w:spacing w:before="1" w:line="360" w:lineRule="auto"/>
        <w:ind w:right="0"/>
        <w:jc w:val="both"/>
        <w:rPr>
          <w:rFonts w:hint="default" w:ascii="Times New Roman" w:hAnsi="Times New Roman" w:eastAsia="宋体" w:cs="Times New Roman"/>
          <w:color w:val="373535"/>
          <w:w w:val="105"/>
          <w:sz w:val="24"/>
          <w:szCs w:val="24"/>
          <w:vertAlign w:val="baseline"/>
          <w:lang w:val="en-US" w:eastAsia="zh-CN"/>
        </w:rPr>
      </w:pPr>
      <w:r>
        <w:rPr>
          <w:rFonts w:hint="default" w:ascii="Times New Roman" w:hAnsi="Times New Roman" w:eastAsia="宋体" w:cs="Times New Roman"/>
          <w:color w:val="373535"/>
          <w:w w:val="105"/>
          <w:sz w:val="24"/>
          <w:szCs w:val="24"/>
          <w:vertAlign w:val="baseline"/>
          <w:lang w:val="en-US" w:eastAsia="zh-CN"/>
        </w:rPr>
        <w:drawing>
          <wp:inline distT="0" distB="0" distL="114300" distR="114300">
            <wp:extent cx="5314950" cy="7153275"/>
            <wp:effectExtent l="0" t="0" r="0" b="9525"/>
            <wp:docPr id="1" name="图片 1" descr="福州港三都澳港区漳湾作业区18～20号泊位工程（变更） 环境影响评价第一次公示 - 宁德港务集团有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福州港三都澳港区漳湾作业区18～20号泊位工程（变更） 环境影响评价第一次公示 - 宁德港务集团有限"/>
                    <pic:cNvPicPr>
                      <a:picLocks noChangeAspect="1"/>
                    </pic:cNvPicPr>
                  </pic:nvPicPr>
                  <pic:blipFill>
                    <a:blip r:embed="rId6"/>
                    <a:stretch>
                      <a:fillRect/>
                    </a:stretch>
                  </pic:blipFill>
                  <pic:spPr>
                    <a:xfrm>
                      <a:off x="0" y="0"/>
                      <a:ext cx="5314950" cy="7153275"/>
                    </a:xfrm>
                    <a:prstGeom prst="rect">
                      <a:avLst/>
                    </a:prstGeom>
                  </pic:spPr>
                </pic:pic>
              </a:graphicData>
            </a:graphic>
          </wp:inline>
        </w:drawing>
      </w:r>
    </w:p>
    <w:p>
      <w:pPr>
        <w:pStyle w:val="2"/>
        <w:jc w:val="center"/>
        <w:rPr>
          <w:rFonts w:hint="default"/>
          <w:b/>
          <w:bCs/>
          <w:lang w:val="en-US" w:eastAsia="zh-CN"/>
        </w:rPr>
      </w:pPr>
      <w:r>
        <w:rPr>
          <w:rFonts w:hint="eastAsia" w:ascii="Times New Roman" w:hAnsi="Times New Roman" w:eastAsia="宋体" w:cs="Times New Roman"/>
          <w:b/>
          <w:bCs/>
          <w:color w:val="373535"/>
          <w:w w:val="105"/>
          <w:sz w:val="24"/>
          <w:szCs w:val="24"/>
          <w:vertAlign w:val="baseline"/>
          <w:lang w:val="en-US" w:eastAsia="zh-CN"/>
        </w:rPr>
        <w:t>图2.3-1  第一次公示截图</w:t>
      </w:r>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5" w:name="_Toc15331"/>
      <w:r>
        <w:rPr>
          <w:rFonts w:hint="default" w:ascii="Times New Roman" w:hAnsi="Times New Roman" w:eastAsia="宋体" w:cs="Times New Roman"/>
          <w:b/>
          <w:bCs/>
          <w:sz w:val="28"/>
          <w:szCs w:val="28"/>
          <w:lang w:val="en-US" w:eastAsia="zh-CN"/>
        </w:rPr>
        <w:t>2.</w:t>
      </w:r>
      <w:r>
        <w:rPr>
          <w:rFonts w:hint="eastAsia" w:ascii="Times New Roman" w:hAnsi="Times New Roman" w:cs="Times New Roman"/>
          <w:b/>
          <w:bCs/>
          <w:sz w:val="28"/>
          <w:szCs w:val="28"/>
          <w:lang w:val="en-US" w:eastAsia="zh-CN"/>
        </w:rPr>
        <w:t>4</w:t>
      </w:r>
      <w:r>
        <w:rPr>
          <w:rFonts w:hint="default" w:ascii="Times New Roman" w:hAnsi="Times New Roman" w:eastAsia="宋体" w:cs="Times New Roman"/>
          <w:b/>
          <w:bCs/>
          <w:sz w:val="28"/>
          <w:szCs w:val="28"/>
          <w:lang w:val="en-US" w:eastAsia="zh-CN"/>
        </w:rPr>
        <w:t xml:space="preserve"> 公众意见情况</w:t>
      </w:r>
      <w:bookmarkEnd w:id="5"/>
    </w:p>
    <w:p>
      <w:pPr>
        <w:spacing w:before="1" w:line="360" w:lineRule="auto"/>
        <w:ind w:right="0" w:firstLine="504" w:firstLineChars="200"/>
        <w:jc w:val="both"/>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网络一次公示期间未收到公众对本项目建设的相关意见和建议。</w:t>
      </w:r>
    </w:p>
    <w:p>
      <w:pPr>
        <w:keepNext w:val="0"/>
        <w:keepLines w:val="0"/>
        <w:pageBreakBefore w:val="0"/>
        <w:widowControl/>
        <w:kinsoku/>
        <w:wordWrap/>
        <w:overflowPunct/>
        <w:topLinePunct w:val="0"/>
        <w:autoSpaceDE/>
        <w:autoSpaceDN/>
        <w:bidi w:val="0"/>
        <w:adjustRightInd/>
        <w:snapToGrid/>
        <w:textAlignment w:val="auto"/>
        <w:outlineLvl w:val="0"/>
        <w:rPr>
          <w:rFonts w:hint="default" w:ascii="Times New Roman" w:hAnsi="Times New Roman" w:eastAsia="宋体" w:cs="Times New Roman"/>
          <w:b/>
          <w:bCs/>
          <w:color w:val="373535"/>
          <w:sz w:val="39"/>
          <w:lang w:val="en-US" w:eastAsia="zh-CN"/>
        </w:rPr>
      </w:pPr>
      <w:r>
        <w:rPr>
          <w:rFonts w:hint="default" w:ascii="Times New Roman" w:hAnsi="Times New Roman" w:eastAsia="宋体" w:cs="Times New Roman"/>
          <w:color w:val="373535"/>
          <w:w w:val="105"/>
          <w:sz w:val="21"/>
        </w:rPr>
        <w:br w:type="page"/>
      </w:r>
      <w:bookmarkStart w:id="6" w:name="_Toc28600"/>
      <w:r>
        <w:rPr>
          <w:rFonts w:hint="default" w:ascii="Times New Roman" w:hAnsi="Times New Roman" w:eastAsia="宋体" w:cs="Times New Roman"/>
          <w:b/>
          <w:bCs/>
          <w:color w:val="373535"/>
          <w:sz w:val="39"/>
          <w:lang w:val="en-US" w:eastAsia="zh-CN"/>
        </w:rPr>
        <w:t>3 征求意见稿公示情况</w:t>
      </w:r>
      <w:bookmarkEnd w:id="6"/>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7" w:name="_Toc1242"/>
      <w:r>
        <w:rPr>
          <w:rFonts w:hint="default" w:ascii="Times New Roman" w:hAnsi="Times New Roman" w:eastAsia="宋体" w:cs="Times New Roman"/>
          <w:b/>
          <w:bCs/>
          <w:sz w:val="28"/>
          <w:szCs w:val="28"/>
          <w:lang w:val="en-US" w:eastAsia="zh-CN"/>
        </w:rPr>
        <w:t>3.1 公示内容及时限</w:t>
      </w:r>
      <w:bookmarkEnd w:id="7"/>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我单位在受委托环评单位基本完成项目环境影响报告书主要内容编制后，公示了以下内容：</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（一）环境影响报告书征求意见稿全文的网络链接及查阅纸质报告书的方式和途径；</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（二）征求意见的公众范围；</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（三）公众意见表的网络链接；</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（四）公众提出意见的方式和途径；</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（五）公众提出意见的起止时间。</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征求公众意见的期限为</w:t>
      </w:r>
      <w:r>
        <w:rPr>
          <w:rFonts w:hint="eastAsia" w:ascii="Times New Roman" w:hAnsi="Times New Roman" w:eastAsia="宋体" w:cs="Times New Roman"/>
          <w:color w:val="373535"/>
          <w:w w:val="105"/>
          <w:sz w:val="24"/>
          <w:szCs w:val="24"/>
          <w:lang w:val="en-US" w:eastAsia="zh-CN"/>
        </w:rPr>
        <w:t>10</w:t>
      </w:r>
      <w:r>
        <w:rPr>
          <w:rFonts w:hint="default" w:ascii="Times New Roman" w:hAnsi="Times New Roman" w:eastAsia="宋体" w:cs="Times New Roman"/>
          <w:color w:val="373535"/>
          <w:w w:val="105"/>
          <w:sz w:val="24"/>
          <w:szCs w:val="24"/>
        </w:rPr>
        <w:t>个工作日。</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上述公示内容和期限均符合《环境影响评价公众参与办法》要求。</w:t>
      </w:r>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8" w:name="_Toc8516"/>
      <w:r>
        <w:rPr>
          <w:rFonts w:hint="default" w:ascii="Times New Roman" w:hAnsi="Times New Roman" w:eastAsia="宋体" w:cs="Times New Roman"/>
          <w:b/>
          <w:bCs/>
          <w:sz w:val="28"/>
          <w:szCs w:val="28"/>
          <w:lang w:val="en-US" w:eastAsia="zh-CN"/>
        </w:rPr>
        <w:t>3.2 公示方式</w:t>
      </w:r>
      <w:bookmarkEnd w:id="8"/>
    </w:p>
    <w:p>
      <w:pPr>
        <w:pStyle w:val="13"/>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outlineLvl w:val="2"/>
        <w:rPr>
          <w:rFonts w:hint="default" w:ascii="Times New Roman" w:hAnsi="Times New Roman" w:eastAsia="宋体" w:cs="Times New Roman"/>
          <w:b/>
          <w:bCs/>
          <w:color w:val="373535"/>
          <w:w w:val="105"/>
          <w:sz w:val="24"/>
          <w:szCs w:val="24"/>
          <w:lang w:val="en-US" w:eastAsia="zh-CN"/>
        </w:rPr>
      </w:pPr>
      <w:bookmarkStart w:id="9" w:name="_Toc12164"/>
      <w:r>
        <w:rPr>
          <w:rFonts w:hint="default" w:ascii="Times New Roman" w:hAnsi="Times New Roman" w:eastAsia="宋体" w:cs="Times New Roman"/>
          <w:b/>
          <w:bCs/>
          <w:color w:val="373535"/>
          <w:w w:val="105"/>
          <w:sz w:val="24"/>
          <w:szCs w:val="24"/>
          <w:lang w:val="en-US" w:eastAsia="zh-CN"/>
        </w:rPr>
        <w:t>3.2.1网络</w:t>
      </w:r>
      <w:bookmarkEnd w:id="9"/>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w:t>
      </w:r>
      <w:r>
        <w:rPr>
          <w:rFonts w:hint="eastAsia" w:ascii="Times New Roman" w:hAnsi="Times New Roman" w:eastAsia="宋体" w:cs="Times New Roman"/>
          <w:color w:val="373535"/>
          <w:w w:val="105"/>
          <w:sz w:val="24"/>
          <w:szCs w:val="24"/>
          <w:lang w:val="en-US" w:eastAsia="zh-CN"/>
        </w:rPr>
        <w:t>于2024</w:t>
      </w:r>
      <w:r>
        <w:rPr>
          <w:rFonts w:hint="default" w:ascii="Times New Roman" w:hAnsi="Times New Roman" w:eastAsia="宋体" w:cs="Times New Roman"/>
          <w:color w:val="373535"/>
          <w:w w:val="105"/>
          <w:sz w:val="24"/>
          <w:szCs w:val="24"/>
        </w:rPr>
        <w:t>年</w:t>
      </w:r>
      <w:r>
        <w:rPr>
          <w:rFonts w:hint="eastAsia" w:ascii="Times New Roman" w:hAnsi="Times New Roman" w:eastAsia="宋体" w:cs="Times New Roman"/>
          <w:color w:val="373535"/>
          <w:w w:val="105"/>
          <w:sz w:val="24"/>
          <w:szCs w:val="24"/>
          <w:lang w:val="en-US" w:eastAsia="zh-CN"/>
        </w:rPr>
        <w:t>1</w:t>
      </w:r>
      <w:r>
        <w:rPr>
          <w:rFonts w:hint="default" w:ascii="Times New Roman" w:hAnsi="Times New Roman" w:eastAsia="宋体" w:cs="Times New Roman"/>
          <w:color w:val="373535"/>
          <w:w w:val="105"/>
          <w:sz w:val="24"/>
          <w:szCs w:val="24"/>
        </w:rPr>
        <w:t>月</w:t>
      </w:r>
      <w:r>
        <w:rPr>
          <w:rFonts w:hint="eastAsia" w:ascii="Times New Roman" w:hAnsi="Times New Roman" w:eastAsia="宋体" w:cs="Times New Roman"/>
          <w:color w:val="373535"/>
          <w:w w:val="105"/>
          <w:sz w:val="24"/>
          <w:szCs w:val="24"/>
          <w:lang w:val="en-US" w:eastAsia="zh-CN"/>
        </w:rPr>
        <w:t>8</w:t>
      </w:r>
      <w:r>
        <w:rPr>
          <w:rFonts w:hint="default" w:ascii="Times New Roman" w:hAnsi="Times New Roman" w:eastAsia="宋体" w:cs="Times New Roman"/>
          <w:color w:val="373535"/>
          <w:w w:val="105"/>
          <w:sz w:val="24"/>
          <w:szCs w:val="24"/>
        </w:rPr>
        <w:t>日在</w:t>
      </w:r>
      <w:r>
        <w:rPr>
          <w:rFonts w:hint="eastAsia" w:ascii="Times New Roman" w:hAnsi="Times New Roman" w:eastAsia="宋体" w:cs="Times New Roman"/>
          <w:color w:val="373535"/>
          <w:w w:val="105"/>
          <w:sz w:val="24"/>
          <w:szCs w:val="24"/>
          <w:lang w:val="en-US" w:eastAsia="zh-CN"/>
        </w:rPr>
        <w:t>宁德市港务集团有限公司</w:t>
      </w:r>
      <w:r>
        <w:rPr>
          <w:rFonts w:hint="default" w:ascii="Times New Roman" w:hAnsi="Times New Roman" w:eastAsia="宋体" w:cs="Times New Roman"/>
          <w:color w:val="373535"/>
          <w:w w:val="105"/>
          <w:sz w:val="24"/>
          <w:szCs w:val="24"/>
        </w:rPr>
        <w:t>网站进行了征求意见稿公示，具体网址为：</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https://www.ndgw.net/view.asp?sid=3&amp;id=1213</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上述公示网站为建设项目所在地</w:t>
      </w:r>
      <w:r>
        <w:rPr>
          <w:rFonts w:hint="eastAsia" w:ascii="Times New Roman" w:hAnsi="Times New Roman" w:eastAsia="宋体" w:cs="Times New Roman"/>
          <w:color w:val="373535"/>
          <w:w w:val="105"/>
          <w:sz w:val="24"/>
          <w:szCs w:val="24"/>
          <w:lang w:val="en-US" w:eastAsia="zh-CN"/>
        </w:rPr>
        <w:t>公开</w:t>
      </w:r>
      <w:r>
        <w:rPr>
          <w:rFonts w:hint="default" w:ascii="Times New Roman" w:hAnsi="Times New Roman" w:eastAsia="宋体" w:cs="Times New Roman"/>
          <w:color w:val="373535"/>
          <w:w w:val="105"/>
          <w:sz w:val="24"/>
          <w:szCs w:val="24"/>
        </w:rPr>
        <w:t>网站，公示载体符合《环境影响评价公众参与办法》要求。</w:t>
      </w:r>
    </w:p>
    <w:p>
      <w:pPr>
        <w:rPr>
          <w:rFonts w:hint="default"/>
        </w:rPr>
      </w:pPr>
      <w:r>
        <w:rPr>
          <w:rFonts w:hint="default"/>
        </w:rPr>
        <w:br w:type="page"/>
      </w:r>
    </w:p>
    <w:p>
      <w:pPr>
        <w:pStyle w:val="13"/>
        <w:rPr>
          <w:rFonts w:hint="eastAsia" w:eastAsia="宋体"/>
          <w:lang w:eastAsia="zh-CN"/>
        </w:rPr>
      </w:pPr>
      <w:r>
        <w:rPr>
          <w:rFonts w:hint="eastAsia" w:eastAsia="宋体"/>
          <w:lang w:eastAsia="zh-CN"/>
        </w:rPr>
        <w:drawing>
          <wp:inline distT="0" distB="0" distL="114300" distR="114300">
            <wp:extent cx="5268595" cy="5337810"/>
            <wp:effectExtent l="0" t="0" r="8255" b="15240"/>
            <wp:docPr id="2" name="图片 2" descr="福州港三都澳港区漳湾作业区18-20号泊位工程（变更） 环境影响评价第二次公示（征求意见稿） - 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福州港三都澳港区漳湾作业区18-20号泊位工程（变更） 环境影响评价第二次公示（征求意见稿） - 宁"/>
                    <pic:cNvPicPr>
                      <a:picLocks noChangeAspect="1"/>
                    </pic:cNvPicPr>
                  </pic:nvPicPr>
                  <pic:blipFill>
                    <a:blip r:embed="rId7"/>
                    <a:stretch>
                      <a:fillRect/>
                    </a:stretch>
                  </pic:blipFill>
                  <pic:spPr>
                    <a:xfrm>
                      <a:off x="0" y="0"/>
                      <a:ext cx="5268595" cy="5337810"/>
                    </a:xfrm>
                    <a:prstGeom prst="rect">
                      <a:avLst/>
                    </a:prstGeom>
                  </pic:spPr>
                </pic:pic>
              </a:graphicData>
            </a:graphic>
          </wp:inline>
        </w:drawing>
      </w:r>
    </w:p>
    <w:p>
      <w:pPr>
        <w:pStyle w:val="13"/>
        <w:jc w:val="center"/>
        <w:rPr>
          <w:rFonts w:hint="default" w:eastAsia="宋体"/>
          <w:lang w:val="en-US" w:eastAsia="zh-CN"/>
        </w:rPr>
      </w:pPr>
      <w:r>
        <w:rPr>
          <w:rFonts w:hint="default" w:ascii="Times New Roman" w:hAnsi="Times New Roman" w:cs="Times New Roman"/>
          <w:b/>
          <w:bCs/>
          <w:lang w:val="en-US" w:eastAsia="zh-CN"/>
        </w:rPr>
        <w:t>图3.2-1  征求意见稿公示网页截图</w:t>
      </w:r>
    </w:p>
    <w:p>
      <w:pPr>
        <w:pStyle w:val="13"/>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2"/>
        <w:rPr>
          <w:rFonts w:hint="default" w:ascii="Times New Roman" w:hAnsi="Times New Roman" w:eastAsia="宋体" w:cs="Times New Roman"/>
          <w:b/>
          <w:bCs/>
          <w:color w:val="373535"/>
          <w:w w:val="105"/>
          <w:sz w:val="24"/>
          <w:szCs w:val="24"/>
          <w:lang w:val="en-US" w:eastAsia="zh-CN"/>
        </w:rPr>
      </w:pPr>
      <w:bookmarkStart w:id="10" w:name="_Toc13693"/>
      <w:r>
        <w:rPr>
          <w:rFonts w:hint="default" w:ascii="Times New Roman" w:hAnsi="Times New Roman" w:eastAsia="宋体" w:cs="Times New Roman"/>
          <w:b/>
          <w:bCs/>
          <w:color w:val="373535"/>
          <w:w w:val="105"/>
          <w:sz w:val="24"/>
          <w:szCs w:val="24"/>
          <w:lang w:val="en-US" w:eastAsia="zh-CN"/>
        </w:rPr>
        <w:t>3.2.2报纸</w:t>
      </w:r>
      <w:bookmarkEnd w:id="10"/>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本次选取了</w:t>
      </w:r>
      <w:r>
        <w:rPr>
          <w:rFonts w:hint="eastAsia" w:ascii="Times New Roman" w:hAnsi="Times New Roman" w:eastAsia="宋体" w:cs="Times New Roman"/>
          <w:color w:val="373535"/>
          <w:w w:val="105"/>
          <w:sz w:val="24"/>
          <w:szCs w:val="24"/>
          <w:lang w:val="en-US" w:eastAsia="zh-CN"/>
        </w:rPr>
        <w:t>宁德</w:t>
      </w:r>
      <w:r>
        <w:rPr>
          <w:rFonts w:hint="default" w:ascii="Times New Roman" w:hAnsi="Times New Roman" w:eastAsia="宋体" w:cs="Times New Roman"/>
          <w:color w:val="373535"/>
          <w:w w:val="105"/>
          <w:sz w:val="24"/>
          <w:szCs w:val="24"/>
        </w:rPr>
        <w:t>公众易接触的</w:t>
      </w:r>
      <w:r>
        <w:rPr>
          <w:rFonts w:hint="eastAsia" w:ascii="Times New Roman" w:hAnsi="Times New Roman" w:eastAsia="宋体" w:cs="Times New Roman"/>
          <w:color w:val="373535"/>
          <w:w w:val="105"/>
          <w:sz w:val="24"/>
          <w:szCs w:val="24"/>
          <w:lang w:val="en-US" w:eastAsia="zh-CN"/>
        </w:rPr>
        <w:t>福建法治报</w:t>
      </w:r>
      <w:r>
        <w:rPr>
          <w:rFonts w:hint="default" w:ascii="Times New Roman" w:hAnsi="Times New Roman" w:eastAsia="宋体" w:cs="Times New Roman"/>
          <w:color w:val="373535"/>
          <w:w w:val="105"/>
          <w:sz w:val="24"/>
          <w:szCs w:val="24"/>
        </w:rPr>
        <w:t>，</w:t>
      </w:r>
      <w:r>
        <w:rPr>
          <w:rFonts w:hint="eastAsia" w:ascii="Times New Roman" w:hAnsi="Times New Roman" w:eastAsia="宋体" w:cs="Times New Roman"/>
          <w:color w:val="373535"/>
          <w:w w:val="105"/>
          <w:sz w:val="24"/>
          <w:szCs w:val="24"/>
          <w:lang w:val="en-US" w:eastAsia="zh-CN"/>
        </w:rPr>
        <w:t>于2024</w:t>
      </w:r>
      <w:r>
        <w:rPr>
          <w:rFonts w:hint="default" w:ascii="Times New Roman" w:hAnsi="Times New Roman" w:eastAsia="宋体" w:cs="Times New Roman"/>
          <w:color w:val="373535"/>
          <w:w w:val="105"/>
          <w:sz w:val="24"/>
          <w:szCs w:val="24"/>
        </w:rPr>
        <w:t>年</w:t>
      </w:r>
      <w:r>
        <w:rPr>
          <w:rFonts w:hint="eastAsia" w:ascii="Times New Roman" w:hAnsi="Times New Roman" w:eastAsia="宋体" w:cs="Times New Roman"/>
          <w:color w:val="373535"/>
          <w:w w:val="105"/>
          <w:sz w:val="24"/>
          <w:szCs w:val="24"/>
          <w:lang w:val="en-US" w:eastAsia="zh-CN"/>
        </w:rPr>
        <w:t>1</w:t>
      </w:r>
      <w:r>
        <w:rPr>
          <w:rFonts w:hint="default" w:ascii="Times New Roman" w:hAnsi="Times New Roman" w:eastAsia="宋体" w:cs="Times New Roman"/>
          <w:color w:val="373535"/>
          <w:w w:val="105"/>
          <w:sz w:val="24"/>
          <w:szCs w:val="24"/>
        </w:rPr>
        <w:t>月</w:t>
      </w:r>
      <w:r>
        <w:rPr>
          <w:rFonts w:hint="eastAsia" w:ascii="Times New Roman" w:hAnsi="Times New Roman" w:eastAsia="宋体" w:cs="Times New Roman"/>
          <w:color w:val="373535"/>
          <w:w w:val="105"/>
          <w:sz w:val="24"/>
          <w:szCs w:val="24"/>
          <w:lang w:val="en-US" w:eastAsia="zh-CN"/>
        </w:rPr>
        <w:t>9</w:t>
      </w:r>
      <w:r>
        <w:rPr>
          <w:rFonts w:hint="default" w:ascii="Times New Roman" w:hAnsi="Times New Roman" w:eastAsia="宋体" w:cs="Times New Roman"/>
          <w:color w:val="373535"/>
          <w:w w:val="105"/>
          <w:sz w:val="24"/>
          <w:szCs w:val="24"/>
        </w:rPr>
        <w:t>日和</w:t>
      </w:r>
      <w:r>
        <w:rPr>
          <w:rFonts w:hint="eastAsia" w:ascii="Times New Roman" w:hAnsi="Times New Roman" w:eastAsia="宋体" w:cs="Times New Roman"/>
          <w:color w:val="373535"/>
          <w:w w:val="105"/>
          <w:sz w:val="24"/>
          <w:szCs w:val="24"/>
          <w:lang w:val="en-US" w:eastAsia="zh-CN"/>
        </w:rPr>
        <w:t>12</w:t>
      </w:r>
      <w:r>
        <w:rPr>
          <w:rFonts w:hint="default" w:ascii="Times New Roman" w:hAnsi="Times New Roman" w:eastAsia="宋体" w:cs="Times New Roman"/>
          <w:color w:val="373535"/>
          <w:w w:val="105"/>
          <w:sz w:val="24"/>
          <w:szCs w:val="24"/>
        </w:rPr>
        <w:t>日两次进行了征求意见稿公示，公示载体符合《环境影响评价公众参与办法》要求。</w:t>
      </w:r>
    </w:p>
    <w:p>
      <w:pPr>
        <w:pStyle w:val="2"/>
        <w:ind w:left="0" w:leftChars="0" w:firstLine="0" w:firstLineChars="0"/>
        <w:rPr>
          <w:rFonts w:hint="eastAsia" w:eastAsia="仿宋"/>
          <w:lang w:eastAsia="zh-CN"/>
        </w:rPr>
      </w:pPr>
      <w:r>
        <w:rPr>
          <w:rFonts w:hint="eastAsia" w:eastAsia="仿宋"/>
          <w:lang w:eastAsia="zh-CN"/>
        </w:rPr>
        <w:drawing>
          <wp:inline distT="0" distB="0" distL="114300" distR="114300">
            <wp:extent cx="5229225" cy="8357870"/>
            <wp:effectExtent l="0" t="0" r="9525" b="5080"/>
            <wp:docPr id="3" name="图片 3" descr="1.8报纸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8报纸公示"/>
                    <pic:cNvPicPr>
                      <a:picLocks noChangeAspect="1"/>
                    </pic:cNvPicPr>
                  </pic:nvPicPr>
                  <pic:blipFill>
                    <a:blip r:embed="rId8"/>
                    <a:stretch>
                      <a:fillRect/>
                    </a:stretch>
                  </pic:blipFill>
                  <pic:spPr>
                    <a:xfrm>
                      <a:off x="0" y="0"/>
                      <a:ext cx="5229225" cy="8357870"/>
                    </a:xfrm>
                    <a:prstGeom prst="rect">
                      <a:avLst/>
                    </a:prstGeom>
                  </pic:spPr>
                </pic:pic>
              </a:graphicData>
            </a:graphic>
          </wp:inline>
        </w:drawing>
      </w:r>
    </w:p>
    <w:p>
      <w:pPr>
        <w:pStyle w:val="13"/>
        <w:jc w:val="center"/>
        <w:rPr>
          <w:rFonts w:hint="eastAsia" w:ascii="Times New Roman" w:hAnsi="Times New Roman" w:eastAsia="宋体" w:cs="Times New Roman"/>
          <w:b/>
          <w:bCs/>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imes New Roman" w:hAnsi="Times New Roman" w:eastAsia="宋体" w:cs="Times New Roman"/>
          <w:b/>
          <w:bCs/>
          <w:lang w:val="en-US" w:eastAsia="zh-CN"/>
        </w:rPr>
        <w:t>图3.2-2  报纸公示（2024年1月9日）</w:t>
      </w:r>
    </w:p>
    <w:p>
      <w:pPr>
        <w:pStyle w:val="13"/>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drawing>
          <wp:inline distT="0" distB="0" distL="114300" distR="114300">
            <wp:extent cx="5265420" cy="8408670"/>
            <wp:effectExtent l="0" t="0" r="11430" b="11430"/>
            <wp:docPr id="5" name="图片 5" descr="1.12报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12报纸"/>
                    <pic:cNvPicPr>
                      <a:picLocks noChangeAspect="1"/>
                    </pic:cNvPicPr>
                  </pic:nvPicPr>
                  <pic:blipFill>
                    <a:blip r:embed="rId9"/>
                    <a:stretch>
                      <a:fillRect/>
                    </a:stretch>
                  </pic:blipFill>
                  <pic:spPr>
                    <a:xfrm>
                      <a:off x="0" y="0"/>
                      <a:ext cx="5265420" cy="8408670"/>
                    </a:xfrm>
                    <a:prstGeom prst="rect">
                      <a:avLst/>
                    </a:prstGeom>
                  </pic:spPr>
                </pic:pic>
              </a:graphicData>
            </a:graphic>
          </wp:inline>
        </w:drawing>
      </w:r>
    </w:p>
    <w:p>
      <w:pPr>
        <w:pStyle w:val="13"/>
        <w:jc w:val="center"/>
        <w:rPr>
          <w:rFonts w:hint="eastAsia" w:ascii="Times New Roman" w:hAnsi="Times New Roman" w:eastAsia="宋体" w:cs="Times New Roman"/>
          <w:b/>
          <w:bCs/>
          <w:lang w:val="en-US" w:eastAsia="zh-CN"/>
        </w:rPr>
        <w:sectPr>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eastAsia="宋体" w:cs="Times New Roman"/>
          <w:b/>
          <w:bCs/>
          <w:lang w:val="en-US" w:eastAsia="zh-CN"/>
        </w:rPr>
        <w:t>图3.2-2  报纸公示（2024年1月12日）</w:t>
      </w:r>
    </w:p>
    <w:p>
      <w:pPr>
        <w:pStyle w:val="13"/>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2"/>
        <w:rPr>
          <w:rFonts w:hint="default" w:ascii="Times New Roman" w:hAnsi="Times New Roman" w:eastAsia="宋体" w:cs="Times New Roman"/>
          <w:b/>
          <w:bCs/>
          <w:color w:val="373535"/>
          <w:w w:val="105"/>
          <w:sz w:val="24"/>
          <w:szCs w:val="24"/>
          <w:lang w:val="en-US" w:eastAsia="zh-CN"/>
        </w:rPr>
      </w:pPr>
      <w:bookmarkStart w:id="11" w:name="_Toc16342"/>
      <w:r>
        <w:rPr>
          <w:rFonts w:hint="default" w:ascii="Times New Roman" w:hAnsi="Times New Roman" w:eastAsia="宋体" w:cs="Times New Roman"/>
          <w:b/>
          <w:bCs/>
          <w:color w:val="373535"/>
          <w:w w:val="105"/>
          <w:sz w:val="24"/>
          <w:szCs w:val="24"/>
          <w:lang w:val="en-US" w:eastAsia="zh-CN"/>
        </w:rPr>
        <w:t>3.2.3 公告</w:t>
      </w:r>
      <w:bookmarkEnd w:id="11"/>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本次张贴区域选取了工程</w:t>
      </w:r>
      <w:r>
        <w:rPr>
          <w:rFonts w:hint="eastAsia" w:ascii="Times New Roman" w:hAnsi="Times New Roman" w:eastAsia="宋体" w:cs="Times New Roman"/>
          <w:color w:val="373535"/>
          <w:w w:val="105"/>
          <w:sz w:val="24"/>
          <w:szCs w:val="24"/>
          <w:lang w:val="en-US" w:eastAsia="zh-CN"/>
        </w:rPr>
        <w:t>评价范围内，居民较集中的区域张贴公告，张贴公告时间为2024年1月9日。</w:t>
      </w:r>
      <w:r>
        <w:rPr>
          <w:rFonts w:hint="default" w:ascii="Times New Roman" w:hAnsi="Times New Roman" w:eastAsia="宋体" w:cs="Times New Roman"/>
          <w:color w:val="373535"/>
          <w:w w:val="105"/>
          <w:sz w:val="24"/>
          <w:szCs w:val="24"/>
        </w:rPr>
        <w:t>具体照片如下：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13"/>
              <w:jc w:val="both"/>
              <w:rPr>
                <w:rFonts w:hint="eastAsia" w:ascii="Times New Roman" w:hAnsi="Times New Roman" w:eastAsia="宋体" w:cs="Times New Roman"/>
                <w:color w:val="373535"/>
                <w:w w:val="105"/>
                <w:sz w:val="21"/>
                <w:vertAlign w:val="baseline"/>
                <w:lang w:eastAsia="zh-CN"/>
              </w:rPr>
            </w:pPr>
            <w:r>
              <w:rPr>
                <w:rFonts w:hint="eastAsia" w:ascii="Times New Roman" w:hAnsi="Times New Roman" w:eastAsia="宋体" w:cs="Times New Roman"/>
                <w:color w:val="373535"/>
                <w:w w:val="105"/>
                <w:sz w:val="21"/>
                <w:vertAlign w:val="baseline"/>
                <w:lang w:eastAsia="zh-CN"/>
              </w:rPr>
              <w:drawing>
                <wp:inline distT="0" distB="0" distL="114300" distR="114300">
                  <wp:extent cx="2548255" cy="1911350"/>
                  <wp:effectExtent l="0" t="0" r="4445" b="12700"/>
                  <wp:docPr id="10" name="图片 10" descr="微信图片_2020092409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00924090415"/>
                          <pic:cNvPicPr>
                            <a:picLocks noChangeAspect="1"/>
                          </pic:cNvPicPr>
                        </pic:nvPicPr>
                        <pic:blipFill>
                          <a:blip r:embed="rId10"/>
                          <a:stretch>
                            <a:fillRect/>
                          </a:stretch>
                        </pic:blipFill>
                        <pic:spPr>
                          <a:xfrm>
                            <a:off x="0" y="0"/>
                            <a:ext cx="2548255" cy="1911350"/>
                          </a:xfrm>
                          <a:prstGeom prst="rect">
                            <a:avLst/>
                          </a:prstGeom>
                        </pic:spPr>
                      </pic:pic>
                    </a:graphicData>
                  </a:graphic>
                </wp:inline>
              </w:drawing>
            </w:r>
          </w:p>
        </w:tc>
        <w:tc>
          <w:tcPr>
            <w:tcW w:w="4261" w:type="dxa"/>
          </w:tcPr>
          <w:p>
            <w:pPr>
              <w:pStyle w:val="13"/>
              <w:jc w:val="both"/>
              <w:rPr>
                <w:rFonts w:hint="eastAsia" w:ascii="Times New Roman" w:hAnsi="Times New Roman" w:eastAsia="宋体" w:cs="Times New Roman"/>
                <w:color w:val="373535"/>
                <w:w w:val="105"/>
                <w:sz w:val="21"/>
                <w:vertAlign w:val="baseline"/>
                <w:lang w:eastAsia="zh-CN"/>
              </w:rPr>
            </w:pPr>
            <w:r>
              <w:rPr>
                <w:rFonts w:hint="eastAsia" w:ascii="Times New Roman" w:hAnsi="Times New Roman" w:eastAsia="宋体" w:cs="Times New Roman"/>
                <w:color w:val="373535"/>
                <w:w w:val="105"/>
                <w:sz w:val="21"/>
                <w:vertAlign w:val="baseline"/>
                <w:lang w:eastAsia="zh-CN"/>
              </w:rPr>
              <w:drawing>
                <wp:inline distT="0" distB="0" distL="114300" distR="114300">
                  <wp:extent cx="2548255" cy="1911350"/>
                  <wp:effectExtent l="0" t="0" r="4445" b="12700"/>
                  <wp:docPr id="11" name="图片 11" descr="微信图片_2020092409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00924090407"/>
                          <pic:cNvPicPr>
                            <a:picLocks noChangeAspect="1"/>
                          </pic:cNvPicPr>
                        </pic:nvPicPr>
                        <pic:blipFill>
                          <a:blip r:embed="rId11"/>
                          <a:stretch>
                            <a:fillRect/>
                          </a:stretch>
                        </pic:blipFill>
                        <pic:spPr>
                          <a:xfrm>
                            <a:off x="0" y="0"/>
                            <a:ext cx="2548255" cy="19113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pStyle w:val="13"/>
              <w:jc w:val="center"/>
              <w:rPr>
                <w:rFonts w:hint="default" w:ascii="Times New Roman" w:hAnsi="Times New Roman" w:eastAsia="宋体" w:cs="Times New Roman"/>
                <w:color w:val="373535"/>
                <w:w w:val="105"/>
                <w:sz w:val="21"/>
                <w:vertAlign w:val="baseline"/>
                <w:lang w:val="en-US" w:eastAsia="zh-CN"/>
              </w:rPr>
            </w:pPr>
            <w:r>
              <w:rPr>
                <w:rFonts w:hint="eastAsia" w:ascii="Times New Roman" w:hAnsi="Times New Roman" w:cs="Times New Roman"/>
                <w:color w:val="373535"/>
                <w:w w:val="105"/>
                <w:sz w:val="21"/>
                <w:vertAlign w:val="baseline"/>
                <w:lang w:val="en-US" w:eastAsia="zh-CN"/>
              </w:rPr>
              <w:t>岛屿村村委会公告栏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13"/>
              <w:jc w:val="both"/>
              <w:rPr>
                <w:rFonts w:hint="eastAsia" w:ascii="Times New Roman" w:hAnsi="Times New Roman" w:eastAsia="宋体" w:cs="Times New Roman"/>
                <w:color w:val="373535"/>
                <w:w w:val="105"/>
                <w:sz w:val="21"/>
                <w:vertAlign w:val="baseline"/>
                <w:lang w:eastAsia="zh-CN"/>
              </w:rPr>
            </w:pPr>
            <w:r>
              <w:rPr>
                <w:rFonts w:hint="eastAsia" w:ascii="Times New Roman" w:hAnsi="Times New Roman" w:eastAsia="宋体" w:cs="Times New Roman"/>
                <w:color w:val="373535"/>
                <w:w w:val="105"/>
                <w:sz w:val="21"/>
                <w:vertAlign w:val="baseline"/>
                <w:lang w:eastAsia="zh-CN"/>
              </w:rPr>
              <w:drawing>
                <wp:inline distT="0" distB="0" distL="114300" distR="114300">
                  <wp:extent cx="2524125" cy="1893570"/>
                  <wp:effectExtent l="0" t="0" r="9525" b="11430"/>
                  <wp:docPr id="12" name="图片 12" descr="微信图片_2020092414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00924144331"/>
                          <pic:cNvPicPr>
                            <a:picLocks noChangeAspect="1"/>
                          </pic:cNvPicPr>
                        </pic:nvPicPr>
                        <pic:blipFill>
                          <a:blip r:embed="rId12"/>
                          <a:stretch>
                            <a:fillRect/>
                          </a:stretch>
                        </pic:blipFill>
                        <pic:spPr>
                          <a:xfrm>
                            <a:off x="0" y="0"/>
                            <a:ext cx="2524125" cy="1893570"/>
                          </a:xfrm>
                          <a:prstGeom prst="rect">
                            <a:avLst/>
                          </a:prstGeom>
                        </pic:spPr>
                      </pic:pic>
                    </a:graphicData>
                  </a:graphic>
                </wp:inline>
              </w:drawing>
            </w:r>
          </w:p>
        </w:tc>
        <w:tc>
          <w:tcPr>
            <w:tcW w:w="4261" w:type="dxa"/>
          </w:tcPr>
          <w:p>
            <w:pPr>
              <w:pStyle w:val="13"/>
              <w:jc w:val="both"/>
              <w:rPr>
                <w:rFonts w:hint="eastAsia" w:ascii="Times New Roman" w:hAnsi="Times New Roman" w:eastAsia="宋体" w:cs="Times New Roman"/>
                <w:color w:val="373535"/>
                <w:w w:val="105"/>
                <w:sz w:val="21"/>
                <w:vertAlign w:val="baseline"/>
                <w:lang w:eastAsia="zh-CN"/>
              </w:rPr>
            </w:pPr>
            <w:r>
              <w:rPr>
                <w:rFonts w:hint="eastAsia" w:ascii="Times New Roman" w:hAnsi="Times New Roman" w:eastAsia="宋体" w:cs="Times New Roman"/>
                <w:color w:val="373535"/>
                <w:w w:val="105"/>
                <w:sz w:val="21"/>
                <w:vertAlign w:val="baseline"/>
                <w:lang w:eastAsia="zh-CN"/>
              </w:rPr>
              <w:drawing>
                <wp:inline distT="0" distB="0" distL="114300" distR="114300">
                  <wp:extent cx="2548255" cy="1911350"/>
                  <wp:effectExtent l="0" t="0" r="4445" b="12700"/>
                  <wp:docPr id="13" name="图片 13" descr="微信图片_2020092409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00924090420"/>
                          <pic:cNvPicPr>
                            <a:picLocks noChangeAspect="1"/>
                          </pic:cNvPicPr>
                        </pic:nvPicPr>
                        <pic:blipFill>
                          <a:blip r:embed="rId13"/>
                          <a:stretch>
                            <a:fillRect/>
                          </a:stretch>
                        </pic:blipFill>
                        <pic:spPr>
                          <a:xfrm>
                            <a:off x="0" y="0"/>
                            <a:ext cx="2548255" cy="19113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pStyle w:val="13"/>
              <w:jc w:val="center"/>
              <w:rPr>
                <w:rFonts w:hint="default" w:ascii="Times New Roman" w:hAnsi="Times New Roman" w:eastAsia="宋体" w:cs="Times New Roman"/>
                <w:color w:val="373535"/>
                <w:w w:val="105"/>
                <w:sz w:val="21"/>
                <w:vertAlign w:val="baseline"/>
                <w:lang w:val="en-US" w:eastAsia="zh-CN"/>
              </w:rPr>
            </w:pPr>
            <w:r>
              <w:rPr>
                <w:rFonts w:hint="eastAsia"/>
                <w:sz w:val="24"/>
              </w:rPr>
              <w:t>东岐村</w:t>
            </w:r>
            <w:r>
              <w:rPr>
                <w:rFonts w:hint="eastAsia"/>
                <w:sz w:val="24"/>
                <w:lang w:val="en-US" w:eastAsia="zh-CN"/>
              </w:rPr>
              <w:t>村委会公告栏</w:t>
            </w:r>
          </w:p>
        </w:tc>
      </w:tr>
    </w:tbl>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12" w:name="_Toc172"/>
      <w:r>
        <w:rPr>
          <w:rFonts w:hint="default" w:ascii="Times New Roman" w:hAnsi="Times New Roman" w:eastAsia="宋体" w:cs="Times New Roman"/>
          <w:b/>
          <w:bCs/>
          <w:sz w:val="28"/>
          <w:szCs w:val="28"/>
          <w:lang w:val="en-US" w:eastAsia="zh-CN"/>
        </w:rPr>
        <w:t>3.3查阅情况</w:t>
      </w:r>
      <w:bookmarkEnd w:id="12"/>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eastAsia"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项目纸质环境影响报告书征求意见稿查阅场所设置千我单位接待室，</w:t>
      </w:r>
      <w:r>
        <w:rPr>
          <w:rFonts w:hint="eastAsia" w:ascii="Times New Roman" w:hAnsi="Times New Roman" w:eastAsia="宋体" w:cs="Times New Roman"/>
          <w:color w:val="373535"/>
          <w:w w:val="105"/>
          <w:sz w:val="24"/>
          <w:szCs w:val="24"/>
          <w:lang w:val="en-US" w:eastAsia="zh-CN"/>
        </w:rPr>
        <w:t>具体地址：</w:t>
      </w:r>
      <w:r>
        <w:rPr>
          <w:rFonts w:hint="default" w:ascii="Times New Roman" w:hAnsi="Times New Roman" w:eastAsia="宋体" w:cs="Times New Roman"/>
          <w:sz w:val="24"/>
          <w:szCs w:val="24"/>
          <w:highlight w:val="none"/>
        </w:rPr>
        <w:t>福建省宁德市蕉城区疏港路209-1号</w:t>
      </w:r>
      <w:r>
        <w:rPr>
          <w:rFonts w:hint="eastAsia" w:ascii="Times New Roman" w:hAnsi="Times New Roman" w:eastAsia="宋体" w:cs="Times New Roman"/>
          <w:color w:val="373535"/>
          <w:w w:val="105"/>
          <w:sz w:val="24"/>
          <w:szCs w:val="24"/>
        </w:rPr>
        <w:t>。</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公示期间无公众进行纸质版报告查阅，公示链接显示电子版环境影响报告书征求意见稿存在</w:t>
      </w:r>
      <w:r>
        <w:rPr>
          <w:rFonts w:hint="eastAsia" w:ascii="Times New Roman" w:hAnsi="Times New Roman" w:eastAsia="宋体" w:cs="Times New Roman"/>
          <w:color w:val="373535"/>
          <w:w w:val="105"/>
          <w:sz w:val="24"/>
          <w:szCs w:val="24"/>
          <w:lang w:val="en-US" w:eastAsia="zh-CN"/>
        </w:rPr>
        <w:t>10</w:t>
      </w:r>
      <w:r>
        <w:rPr>
          <w:rFonts w:hint="default" w:ascii="Times New Roman" w:hAnsi="Times New Roman" w:eastAsia="宋体" w:cs="Times New Roman"/>
          <w:color w:val="373535"/>
          <w:w w:val="105"/>
          <w:sz w:val="24"/>
          <w:szCs w:val="24"/>
        </w:rPr>
        <w:t>次查阅。</w:t>
      </w:r>
    </w:p>
    <w:p>
      <w:pPr>
        <w:pStyle w:val="13"/>
        <w:keepNext w:val="0"/>
        <w:keepLines w:val="0"/>
        <w:pageBreakBefore w:val="0"/>
        <w:widowControl w:val="0"/>
        <w:kinsoku/>
        <w:wordWrap/>
        <w:overflowPunct/>
        <w:topLinePunct w:val="0"/>
        <w:autoSpaceDE w:val="0"/>
        <w:autoSpaceDN w:val="0"/>
        <w:bidi w:val="0"/>
        <w:adjustRightInd w:val="0"/>
        <w:snapToGrid/>
        <w:textAlignment w:val="auto"/>
        <w:outlineLvl w:val="1"/>
        <w:rPr>
          <w:rFonts w:hint="default" w:ascii="Times New Roman" w:hAnsi="Times New Roman" w:eastAsia="宋体" w:cs="Times New Roman"/>
          <w:b/>
          <w:bCs/>
          <w:sz w:val="28"/>
          <w:szCs w:val="28"/>
          <w:lang w:val="en-US" w:eastAsia="zh-CN"/>
        </w:rPr>
      </w:pPr>
      <w:bookmarkStart w:id="13" w:name="_Toc16507"/>
      <w:r>
        <w:rPr>
          <w:rFonts w:hint="default" w:ascii="Times New Roman" w:hAnsi="Times New Roman" w:eastAsia="宋体" w:cs="Times New Roman"/>
          <w:b/>
          <w:bCs/>
          <w:sz w:val="28"/>
          <w:szCs w:val="28"/>
          <w:lang w:val="en-US" w:eastAsia="zh-CN"/>
        </w:rPr>
        <w:t>3.4公众提出意见情况</w:t>
      </w:r>
      <w:bookmarkEnd w:id="13"/>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征求意见期间未收到公众提出的与本项目环境影响和环保措施有关的建议和意见。</w:t>
      </w:r>
    </w:p>
    <w:p>
      <w:pPr>
        <w:rPr>
          <w:rFonts w:hint="default" w:ascii="Times New Roman" w:hAnsi="Times New Roman" w:eastAsia="宋体" w:cs="Times New Roman"/>
          <w:color w:val="373535"/>
          <w:w w:val="105"/>
          <w:sz w:val="21"/>
          <w:lang w:val="en-US" w:eastAsia="zh-CN"/>
        </w:rPr>
      </w:pPr>
      <w:r>
        <w:rPr>
          <w:rFonts w:hint="default" w:ascii="Times New Roman" w:hAnsi="Times New Roman" w:eastAsia="宋体" w:cs="Times New Roman"/>
          <w:color w:val="373535"/>
          <w:w w:val="105"/>
          <w:sz w:val="21"/>
          <w:lang w:val="en-US" w:eastAsia="zh-CN"/>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outlineLvl w:val="0"/>
        <w:rPr>
          <w:rFonts w:hint="default" w:ascii="Times New Roman" w:hAnsi="Times New Roman" w:eastAsia="宋体" w:cs="Times New Roman"/>
          <w:b/>
          <w:bCs/>
          <w:color w:val="373535"/>
          <w:sz w:val="39"/>
          <w:lang w:val="en-US" w:eastAsia="zh-CN"/>
        </w:rPr>
      </w:pPr>
      <w:bookmarkStart w:id="14" w:name="_Toc21579"/>
      <w:r>
        <w:rPr>
          <w:rFonts w:hint="default" w:ascii="Times New Roman" w:hAnsi="Times New Roman" w:eastAsia="宋体" w:cs="Times New Roman"/>
          <w:b/>
          <w:bCs/>
          <w:color w:val="373535"/>
          <w:sz w:val="39"/>
          <w:lang w:val="en-US" w:eastAsia="zh-CN"/>
        </w:rPr>
        <w:t>4 其他公众参与情况</w:t>
      </w:r>
      <w:bookmarkEnd w:id="14"/>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由千本工程影响影响范围有限，且主要发生在施工期，通过网络、报纸、张贴公示并辅以施工前期的宣传工作，本次未开展深度公众参与。</w:t>
      </w:r>
    </w:p>
    <w:p>
      <w:pPr>
        <w:keepNext w:val="0"/>
        <w:keepLines w:val="0"/>
        <w:pageBreakBefore w:val="0"/>
        <w:widowControl/>
        <w:kinsoku/>
        <w:wordWrap/>
        <w:overflowPunct/>
        <w:topLinePunct w:val="0"/>
        <w:autoSpaceDE/>
        <w:autoSpaceDN/>
        <w:bidi w:val="0"/>
        <w:adjustRightInd/>
        <w:snapToGrid/>
        <w:spacing w:after="157" w:afterLines="50" w:line="360" w:lineRule="auto"/>
        <w:jc w:val="left"/>
        <w:textAlignment w:val="auto"/>
        <w:outlineLvl w:val="0"/>
        <w:rPr>
          <w:rFonts w:hint="default" w:ascii="Times New Roman" w:hAnsi="Times New Roman" w:eastAsia="宋体" w:cs="Times New Roman"/>
          <w:b/>
          <w:bCs/>
          <w:color w:val="373535"/>
          <w:sz w:val="39"/>
          <w:lang w:val="en-US" w:eastAsia="zh-CN"/>
        </w:rPr>
      </w:pPr>
      <w:bookmarkStart w:id="15" w:name="_Toc20626"/>
      <w:r>
        <w:rPr>
          <w:rFonts w:hint="default" w:ascii="Times New Roman" w:hAnsi="Times New Roman" w:eastAsia="宋体" w:cs="Times New Roman"/>
          <w:b/>
          <w:bCs/>
          <w:color w:val="373535"/>
          <w:sz w:val="39"/>
          <w:lang w:val="en-US" w:eastAsia="zh-CN"/>
        </w:rPr>
        <w:t>5 公众意见处理情况</w:t>
      </w:r>
      <w:bookmarkEnd w:id="15"/>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本次公众意见调查期间，均未收到公众提出的与本项目环境影响和环保措施有关的建议和意见。</w:t>
      </w:r>
    </w:p>
    <w:p>
      <w:pPr>
        <w:rPr>
          <w:rFonts w:hint="default" w:ascii="Times New Roman" w:hAnsi="Times New Roman" w:eastAsia="宋体" w:cs="Times New Roman"/>
          <w:color w:val="373535"/>
          <w:w w:val="105"/>
          <w:sz w:val="21"/>
        </w:rPr>
      </w:pPr>
      <w:r>
        <w:rPr>
          <w:rFonts w:hint="default" w:ascii="Times New Roman" w:hAnsi="Times New Roman" w:eastAsia="宋体" w:cs="Times New Roman"/>
          <w:color w:val="373535"/>
          <w:w w:val="105"/>
          <w:sz w:val="21"/>
        </w:rPr>
        <w:br w:type="page"/>
      </w:r>
    </w:p>
    <w:p>
      <w:pPr>
        <w:keepNext w:val="0"/>
        <w:keepLines w:val="0"/>
        <w:pageBreakBefore w:val="0"/>
        <w:widowControl/>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b/>
          <w:bCs/>
          <w:color w:val="373535"/>
          <w:w w:val="105"/>
          <w:sz w:val="44"/>
          <w:szCs w:val="44"/>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right="0"/>
        <w:jc w:val="center"/>
        <w:textAlignment w:val="auto"/>
        <w:outlineLvl w:val="0"/>
        <w:rPr>
          <w:rFonts w:hint="default" w:ascii="Times New Roman" w:hAnsi="Times New Roman" w:eastAsia="宋体" w:cs="Times New Roman"/>
          <w:b/>
          <w:bCs/>
          <w:color w:val="373535"/>
          <w:w w:val="105"/>
          <w:sz w:val="44"/>
          <w:szCs w:val="44"/>
          <w:lang w:val="en-US" w:eastAsia="zh-CN"/>
        </w:rPr>
      </w:pPr>
      <w:bookmarkStart w:id="16" w:name="_Toc24649"/>
      <w:r>
        <w:rPr>
          <w:rFonts w:hint="default" w:ascii="Times New Roman" w:hAnsi="Times New Roman" w:eastAsia="宋体" w:cs="Times New Roman"/>
          <w:b/>
          <w:bCs/>
          <w:color w:val="373535"/>
          <w:w w:val="105"/>
          <w:sz w:val="44"/>
          <w:szCs w:val="44"/>
          <w:lang w:val="en-US" w:eastAsia="zh-CN"/>
        </w:rPr>
        <w:t>诚信承诺</w:t>
      </w:r>
      <w:bookmarkEnd w:id="16"/>
    </w:p>
    <w:p>
      <w:pPr>
        <w:pStyle w:val="13"/>
        <w:rPr>
          <w:rFonts w:hint="default"/>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我单位已按照《办法》要求，在</w:t>
      </w:r>
      <w:r>
        <w:rPr>
          <w:rFonts w:hint="eastAsia" w:ascii="Times New Roman" w:hAnsi="Times New Roman" w:eastAsia="宋体" w:cs="Times New Roman"/>
          <w:color w:val="373535"/>
          <w:w w:val="105"/>
          <w:sz w:val="24"/>
          <w:szCs w:val="24"/>
          <w:lang w:eastAsia="zh-CN"/>
        </w:rPr>
        <w:t>《福州港三都澳港区漳湾作业区18</w:t>
      </w:r>
      <w:r>
        <w:rPr>
          <w:rFonts w:hint="eastAsia" w:ascii="Times New Roman" w:hAnsi="Times New Roman" w:eastAsia="宋体" w:cs="Times New Roman"/>
          <w:color w:val="373535"/>
          <w:w w:val="105"/>
          <w:sz w:val="24"/>
          <w:szCs w:val="24"/>
          <w:lang w:val="en-US" w:eastAsia="zh-CN"/>
        </w:rPr>
        <w:t>至</w:t>
      </w:r>
      <w:r>
        <w:rPr>
          <w:rFonts w:hint="eastAsia" w:ascii="Times New Roman" w:hAnsi="Times New Roman" w:eastAsia="宋体" w:cs="Times New Roman"/>
          <w:color w:val="373535"/>
          <w:w w:val="105"/>
          <w:sz w:val="24"/>
          <w:szCs w:val="24"/>
          <w:lang w:eastAsia="zh-CN"/>
        </w:rPr>
        <w:t>20号泊位工程（</w:t>
      </w:r>
      <w:r>
        <w:rPr>
          <w:rFonts w:hint="eastAsia" w:ascii="Times New Roman" w:hAnsi="Times New Roman" w:eastAsia="宋体" w:cs="Times New Roman"/>
          <w:color w:val="373535"/>
          <w:w w:val="105"/>
          <w:sz w:val="24"/>
          <w:szCs w:val="24"/>
          <w:lang w:val="en-US" w:eastAsia="zh-CN"/>
        </w:rPr>
        <w:t>变更</w:t>
      </w:r>
      <w:r>
        <w:rPr>
          <w:rFonts w:hint="eastAsia" w:ascii="Times New Roman" w:hAnsi="Times New Roman" w:eastAsia="宋体" w:cs="Times New Roman"/>
          <w:color w:val="373535"/>
          <w:w w:val="105"/>
          <w:sz w:val="24"/>
          <w:szCs w:val="24"/>
          <w:lang w:eastAsia="zh-CN"/>
        </w:rPr>
        <w:t>）</w:t>
      </w:r>
      <w:r>
        <w:rPr>
          <w:rFonts w:hint="eastAsia" w:ascii="Times New Roman" w:hAnsi="Times New Roman" w:eastAsia="宋体" w:cs="Times New Roman"/>
          <w:color w:val="373535"/>
          <w:w w:val="105"/>
          <w:sz w:val="24"/>
          <w:szCs w:val="24"/>
          <w:lang w:val="en-US" w:eastAsia="zh-CN"/>
        </w:rPr>
        <w:t>环境影响报告书</w:t>
      </w:r>
      <w:r>
        <w:rPr>
          <w:rFonts w:hint="eastAsia" w:ascii="Times New Roman" w:hAnsi="Times New Roman" w:eastAsia="宋体" w:cs="Times New Roman"/>
          <w:color w:val="373535"/>
          <w:w w:val="105"/>
          <w:sz w:val="24"/>
          <w:szCs w:val="24"/>
          <w:lang w:eastAsia="zh-CN"/>
        </w:rPr>
        <w:t>》</w:t>
      </w:r>
      <w:r>
        <w:rPr>
          <w:rFonts w:hint="default" w:ascii="Times New Roman" w:hAnsi="Times New Roman" w:eastAsia="宋体" w:cs="Times New Roman"/>
          <w:color w:val="373535"/>
          <w:w w:val="105"/>
          <w:sz w:val="24"/>
          <w:szCs w:val="24"/>
        </w:rPr>
        <w:t>编制阶段开展了公众参与工作，并按照要求编制了公众参与说明。</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我单位承诺，本次提交的《</w:t>
      </w:r>
      <w:r>
        <w:rPr>
          <w:rFonts w:hint="eastAsia" w:ascii="Times New Roman" w:hAnsi="Times New Roman" w:eastAsia="宋体" w:cs="Times New Roman"/>
          <w:color w:val="373535"/>
          <w:w w:val="105"/>
          <w:sz w:val="24"/>
          <w:szCs w:val="24"/>
          <w:lang w:eastAsia="zh-CN"/>
        </w:rPr>
        <w:t>福州港三都澳港区漳湾作业区18</w:t>
      </w:r>
      <w:r>
        <w:rPr>
          <w:rFonts w:hint="eastAsia" w:ascii="Times New Roman" w:hAnsi="Times New Roman" w:eastAsia="宋体" w:cs="Times New Roman"/>
          <w:color w:val="373535"/>
          <w:w w:val="105"/>
          <w:sz w:val="24"/>
          <w:szCs w:val="24"/>
          <w:lang w:val="en-US" w:eastAsia="zh-CN"/>
        </w:rPr>
        <w:t>至</w:t>
      </w:r>
      <w:r>
        <w:rPr>
          <w:rFonts w:hint="eastAsia" w:ascii="Times New Roman" w:hAnsi="Times New Roman" w:eastAsia="宋体" w:cs="Times New Roman"/>
          <w:color w:val="373535"/>
          <w:w w:val="105"/>
          <w:sz w:val="24"/>
          <w:szCs w:val="24"/>
          <w:lang w:eastAsia="zh-CN"/>
        </w:rPr>
        <w:t>20号泊位工程</w:t>
      </w:r>
      <w:r>
        <w:rPr>
          <w:rFonts w:hint="eastAsia" w:ascii="Times New Roman" w:hAnsi="Times New Roman" w:eastAsia="宋体" w:cs="Times New Roman"/>
          <w:color w:val="373535"/>
          <w:w w:val="105"/>
          <w:sz w:val="24"/>
          <w:szCs w:val="24"/>
          <w:lang w:eastAsia="zh-CN"/>
        </w:rPr>
        <w:t>（</w:t>
      </w:r>
      <w:r>
        <w:rPr>
          <w:rFonts w:hint="eastAsia" w:ascii="Times New Roman" w:hAnsi="Times New Roman" w:eastAsia="宋体" w:cs="Times New Roman"/>
          <w:color w:val="373535"/>
          <w:w w:val="105"/>
          <w:sz w:val="24"/>
          <w:szCs w:val="24"/>
          <w:lang w:val="en-US" w:eastAsia="zh-CN"/>
        </w:rPr>
        <w:t>变更</w:t>
      </w:r>
      <w:r>
        <w:rPr>
          <w:rFonts w:hint="eastAsia" w:ascii="Times New Roman" w:hAnsi="Times New Roman" w:eastAsia="宋体" w:cs="Times New Roman"/>
          <w:color w:val="373535"/>
          <w:w w:val="105"/>
          <w:sz w:val="24"/>
          <w:szCs w:val="24"/>
          <w:lang w:eastAsia="zh-CN"/>
        </w:rPr>
        <w:t>）</w:t>
      </w:r>
      <w:r>
        <w:rPr>
          <w:rFonts w:hint="eastAsia" w:ascii="Times New Roman" w:hAnsi="Times New Roman" w:eastAsia="宋体" w:cs="Times New Roman"/>
          <w:color w:val="373535"/>
          <w:w w:val="105"/>
          <w:sz w:val="24"/>
          <w:szCs w:val="24"/>
          <w:lang w:val="en-US" w:eastAsia="zh-CN"/>
        </w:rPr>
        <w:t>环境影响评价</w:t>
      </w:r>
      <w:r>
        <w:rPr>
          <w:rFonts w:hint="default" w:ascii="Times New Roman" w:hAnsi="Times New Roman" w:eastAsia="宋体" w:cs="Times New Roman"/>
          <w:color w:val="373535"/>
          <w:w w:val="105"/>
          <w:sz w:val="24"/>
          <w:szCs w:val="24"/>
        </w:rPr>
        <w:t>公众参与说明》内容客观、真实，未包含依法不得公开的国家秘密、商业秘密、个人隐私。如存在弄虚作假、隐瞒</w:t>
      </w:r>
      <w:r>
        <w:rPr>
          <w:rFonts w:hint="eastAsia" w:ascii="Times New Roman" w:hAnsi="Times New Roman" w:eastAsia="宋体" w:cs="Times New Roman"/>
          <w:color w:val="373535"/>
          <w:w w:val="105"/>
          <w:sz w:val="24"/>
          <w:szCs w:val="24"/>
          <w:lang w:val="en-US" w:eastAsia="zh-CN"/>
        </w:rPr>
        <w:t>欺骗</w:t>
      </w:r>
      <w:r>
        <w:rPr>
          <w:rFonts w:hint="default" w:ascii="Times New Roman" w:hAnsi="Times New Roman" w:eastAsia="宋体" w:cs="Times New Roman"/>
          <w:color w:val="373535"/>
          <w:w w:val="105"/>
          <w:sz w:val="24"/>
          <w:szCs w:val="24"/>
        </w:rPr>
        <w:t>等情况及由此导致的一切后果由福建宁港港口投资发展有限公司承担全部责任。</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both"/>
        <w:textAlignment w:val="auto"/>
        <w:rPr>
          <w:rFonts w:hint="default" w:ascii="Times New Roman" w:hAnsi="Times New Roman" w:eastAsia="宋体" w:cs="Times New Roman"/>
          <w:color w:val="373535"/>
          <w:w w:val="105"/>
          <w:sz w:val="24"/>
          <w:szCs w:val="24"/>
        </w:rPr>
      </w:pPr>
    </w:p>
    <w:p>
      <w:pPr>
        <w:pStyle w:val="4"/>
        <w:rPr>
          <w:rFonts w:hint="default" w:ascii="Times New Roman" w:hAnsi="Times New Roman" w:eastAsia="宋体" w:cs="Times New Roman"/>
          <w:sz w:val="28"/>
        </w:rPr>
      </w:pPr>
    </w:p>
    <w:p>
      <w:pPr>
        <w:pStyle w:val="4"/>
        <w:rPr>
          <w:rFonts w:hint="default" w:ascii="Times New Roman" w:hAnsi="Times New Roman" w:eastAsia="宋体" w:cs="Times New Roman"/>
          <w:sz w:val="28"/>
        </w:rPr>
      </w:pPr>
    </w:p>
    <w:p>
      <w:pPr>
        <w:pStyle w:val="4"/>
        <w:spacing w:before="18"/>
        <w:rPr>
          <w:rFonts w:hint="default" w:ascii="Times New Roman" w:hAnsi="Times New Roman" w:eastAsia="宋体" w:cs="Times New Roman"/>
          <w:sz w:val="37"/>
        </w:rPr>
      </w:pP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right"/>
        <w:textAlignment w:val="auto"/>
        <w:rPr>
          <w:rFonts w:hint="default" w:ascii="Times New Roman" w:hAnsi="Times New Roman" w:eastAsia="宋体" w:cs="Times New Roman"/>
          <w:color w:val="373535"/>
          <w:w w:val="105"/>
          <w:sz w:val="24"/>
          <w:szCs w:val="24"/>
        </w:rPr>
      </w:pPr>
      <w:r>
        <w:rPr>
          <w:rFonts w:hint="default" w:ascii="Times New Roman" w:hAnsi="Times New Roman" w:eastAsia="宋体" w:cs="Times New Roman"/>
          <w:color w:val="373535"/>
          <w:w w:val="105"/>
          <w:sz w:val="24"/>
          <w:szCs w:val="24"/>
        </w:rPr>
        <w:t>承诺单位：福建宁港港口投资发展有限公司</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center"/>
        <w:textAlignment w:val="auto"/>
        <w:rPr>
          <w:rFonts w:hint="eastAsia" w:ascii="Times New Roman" w:hAnsi="Times New Roman" w:eastAsia="宋体" w:cs="Times New Roman"/>
          <w:color w:val="373535"/>
          <w:w w:val="105"/>
          <w:sz w:val="24"/>
          <w:szCs w:val="24"/>
          <w:lang w:val="en-US" w:eastAsia="zh-CN"/>
        </w:rPr>
      </w:pPr>
      <w:r>
        <w:rPr>
          <w:rFonts w:hint="eastAsia" w:ascii="Times New Roman" w:hAnsi="Times New Roman" w:eastAsia="宋体" w:cs="Times New Roman"/>
          <w:color w:val="373535"/>
          <w:w w:val="105"/>
          <w:sz w:val="24"/>
          <w:szCs w:val="24"/>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center"/>
        <w:textAlignment w:val="auto"/>
        <w:rPr>
          <w:rFonts w:hint="eastAsia" w:ascii="Times New Roman" w:hAnsi="Times New Roman" w:eastAsia="宋体" w:cs="Times New Roman"/>
          <w:color w:val="373535"/>
          <w:w w:val="105"/>
          <w:sz w:val="24"/>
          <w:szCs w:val="24"/>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right="0" w:firstLine="504" w:firstLineChars="200"/>
        <w:jc w:val="center"/>
        <w:textAlignment w:val="auto"/>
        <w:rPr>
          <w:rFonts w:hint="default" w:ascii="Times New Roman" w:hAnsi="Times New Roman" w:eastAsia="宋体" w:cs="Times New Roman"/>
          <w:color w:val="373535"/>
          <w:w w:val="105"/>
          <w:sz w:val="24"/>
          <w:szCs w:val="24"/>
          <w:lang w:val="en-US" w:eastAsia="zh-CN"/>
        </w:rPr>
      </w:pPr>
      <w:r>
        <w:rPr>
          <w:rFonts w:hint="eastAsia" w:ascii="Times New Roman" w:hAnsi="Times New Roman" w:eastAsia="宋体" w:cs="Times New Roman"/>
          <w:color w:val="373535"/>
          <w:w w:val="105"/>
          <w:sz w:val="24"/>
          <w:szCs w:val="24"/>
          <w:lang w:val="en-US" w:eastAsia="zh-CN"/>
        </w:rPr>
        <w:t xml:space="preserve">            </w:t>
      </w:r>
      <w:r>
        <w:rPr>
          <w:rFonts w:hint="default" w:ascii="Times New Roman" w:hAnsi="Times New Roman" w:eastAsia="宋体" w:cs="Times New Roman"/>
          <w:color w:val="373535"/>
          <w:w w:val="105"/>
          <w:sz w:val="24"/>
          <w:szCs w:val="24"/>
        </w:rPr>
        <w:t>承诺时间：</w:t>
      </w:r>
      <w:r>
        <w:rPr>
          <w:rFonts w:hint="eastAsia" w:ascii="Times New Roman" w:hAnsi="Times New Roman" w:eastAsia="宋体" w:cs="Times New Roman"/>
          <w:color w:val="373535"/>
          <w:w w:val="105"/>
          <w:sz w:val="24"/>
          <w:szCs w:val="24"/>
          <w:lang w:val="en-US" w:eastAsia="zh-CN"/>
        </w:rPr>
        <w:t>2024</w:t>
      </w:r>
      <w:r>
        <w:rPr>
          <w:rFonts w:hint="default" w:ascii="Times New Roman" w:hAnsi="Times New Roman" w:eastAsia="宋体" w:cs="Times New Roman"/>
          <w:color w:val="373535"/>
          <w:w w:val="105"/>
          <w:sz w:val="24"/>
          <w:szCs w:val="24"/>
        </w:rPr>
        <w:t>年</w:t>
      </w:r>
      <w:r>
        <w:rPr>
          <w:rFonts w:hint="eastAsia" w:ascii="Times New Roman" w:hAnsi="Times New Roman" w:eastAsia="宋体" w:cs="Times New Roman"/>
          <w:color w:val="373535"/>
          <w:w w:val="105"/>
          <w:sz w:val="24"/>
          <w:szCs w:val="24"/>
          <w:lang w:val="en-US" w:eastAsia="zh-CN"/>
        </w:rPr>
        <w:t>1</w:t>
      </w:r>
      <w:r>
        <w:rPr>
          <w:rFonts w:hint="default" w:ascii="Times New Roman" w:hAnsi="Times New Roman" w:eastAsia="宋体" w:cs="Times New Roman"/>
          <w:color w:val="373535"/>
          <w:w w:val="105"/>
          <w:sz w:val="24"/>
          <w:szCs w:val="24"/>
        </w:rPr>
        <w:t>月</w:t>
      </w:r>
      <w:r>
        <w:rPr>
          <w:rFonts w:hint="eastAsia" w:ascii="Times New Roman" w:hAnsi="Times New Roman" w:eastAsia="宋体" w:cs="Times New Roman"/>
          <w:color w:val="373535"/>
          <w:w w:val="105"/>
          <w:sz w:val="24"/>
          <w:szCs w:val="24"/>
          <w:lang w:val="en-US" w:eastAsia="zh-CN"/>
        </w:rPr>
        <w:t>24</w:t>
      </w:r>
      <w:r>
        <w:rPr>
          <w:rFonts w:hint="default" w:ascii="Times New Roman" w:hAnsi="Times New Roman" w:eastAsia="宋体" w:cs="Times New Roman"/>
          <w:color w:val="373535"/>
          <w:w w:val="105"/>
          <w:sz w:val="24"/>
          <w:szCs w:val="24"/>
        </w:rPr>
        <w:t>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6"/>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F1107"/>
    <w:multiLevelType w:val="singleLevel"/>
    <w:tmpl w:val="00BF1107"/>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kYjA4NGRjN2ZjMzY1MjAyMDllZjE3NTE4YmUyZDUifQ=="/>
  </w:docVars>
  <w:rsids>
    <w:rsidRoot w:val="00000000"/>
    <w:rsid w:val="0010105F"/>
    <w:rsid w:val="169A2715"/>
    <w:rsid w:val="1B6F7F81"/>
    <w:rsid w:val="33C31073"/>
    <w:rsid w:val="342E5DDC"/>
    <w:rsid w:val="46DD1007"/>
    <w:rsid w:val="477A2127"/>
    <w:rsid w:val="6DBE4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eastAsia="仿宋" w:cs="Times New Roman" w:asciiTheme="minorAscii" w:hAnsiTheme="minorAscii"/>
      <w:sz w:val="24"/>
      <w:szCs w:val="24"/>
      <w:lang w:val="en-US" w:eastAsia="zh-CN" w:bidi="ar-SA"/>
    </w:rPr>
  </w:style>
  <w:style w:type="character" w:default="1" w:styleId="12">
    <w:name w:val="Default Paragraph Font"/>
    <w:semiHidden/>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customStyle="1" w:styleId="2">
    <w:name w:val="正文(首行缩进)"/>
    <w:basedOn w:val="1"/>
    <w:uiPriority w:val="0"/>
    <w:pPr>
      <w:spacing w:line="360" w:lineRule="auto"/>
      <w:ind w:firstLine="420" w:firstLineChars="200"/>
    </w:pPr>
    <w:rPr>
      <w:rFonts w:hAnsi="宋体" w:cs="宋体"/>
      <w:kern w:val="24"/>
      <w:szCs w:val="21"/>
    </w:rPr>
  </w:style>
  <w:style w:type="paragraph" w:styleId="3">
    <w:name w:val="annotation text"/>
    <w:basedOn w:val="1"/>
    <w:uiPriority w:val="0"/>
    <w:pPr>
      <w:jc w:val="left"/>
    </w:pPr>
  </w:style>
  <w:style w:type="paragraph" w:styleId="4">
    <w:name w:val="Body Text"/>
    <w:basedOn w:val="1"/>
    <w:qFormat/>
    <w:uiPriority w:val="1"/>
    <w:rPr>
      <w:rFonts w:ascii="宋体" w:hAnsi="宋体" w:eastAsia="宋体" w:cs="宋体"/>
      <w:sz w:val="9"/>
      <w:szCs w:val="9"/>
    </w:rPr>
  </w:style>
  <w:style w:type="paragraph" w:styleId="5">
    <w:name w:val="toc 3"/>
    <w:basedOn w:val="1"/>
    <w:next w:val="1"/>
    <w:uiPriority w:val="0"/>
    <w:pPr>
      <w:ind w:left="840" w:leftChars="4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iPriority w:val="0"/>
  </w:style>
  <w:style w:type="paragraph" w:styleId="9">
    <w:name w:val="toc 2"/>
    <w:basedOn w:val="1"/>
    <w:next w:val="1"/>
    <w:uiPriority w:val="0"/>
    <w:pPr>
      <w:ind w:left="420" w:left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4">
    <w:name w:val="000正文 字符"/>
    <w:link w:val="15"/>
    <w:autoRedefine/>
    <w:qFormat/>
    <w:uiPriority w:val="0"/>
    <w:rPr>
      <w:kern w:val="0"/>
      <w:sz w:val="24"/>
    </w:rPr>
  </w:style>
  <w:style w:type="paragraph" w:customStyle="1" w:styleId="15">
    <w:name w:val="000正文"/>
    <w:basedOn w:val="1"/>
    <w:link w:val="14"/>
    <w:qFormat/>
    <w:uiPriority w:val="0"/>
    <w:pPr>
      <w:adjustRightInd/>
      <w:spacing w:line="360" w:lineRule="auto"/>
      <w:ind w:firstLine="200" w:firstLineChars="200"/>
    </w:pPr>
    <w:rPr>
      <w:kern w:val="0"/>
      <w:sz w:val="24"/>
    </w:rPr>
  </w:style>
  <w:style w:type="paragraph" w:customStyle="1" w:styleId="16">
    <w:name w:val="WPSOffice手动目录 1"/>
    <w:uiPriority w:val="0"/>
    <w:pPr>
      <w:ind w:leftChars="0"/>
    </w:pPr>
    <w:rPr>
      <w:rFonts w:ascii="Calibri" w:hAnsi="Calibri" w:eastAsia="宋体" w:cs="Times New Roman"/>
      <w:sz w:val="20"/>
      <w:szCs w:val="20"/>
    </w:rPr>
  </w:style>
  <w:style w:type="paragraph" w:customStyle="1" w:styleId="17">
    <w:name w:val="WPSOffice手动目录 2"/>
    <w:uiPriority w:val="0"/>
    <w:pPr>
      <w:ind w:leftChars="200"/>
    </w:pPr>
    <w:rPr>
      <w:rFonts w:ascii="Calibri" w:hAnsi="Calibri" w:eastAsia="宋体" w:cs="Times New Roman"/>
      <w:sz w:val="20"/>
      <w:szCs w:val="20"/>
    </w:rPr>
  </w:style>
  <w:style w:type="paragraph" w:customStyle="1" w:styleId="18">
    <w:name w:val="WPSOffice手动目录 3"/>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2020-08-01T03:36:00Z</dcterms:created>
  <dc:creator>Admin</dc:creator>
  <cp:lastModifiedBy>小霞米</cp:lastModifiedBy>
  <dcterms:modified xsi:type="dcterms:W3CDTF">2024-01-15T02:23:23Z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DEFC748F77894413A12EE735C9725757_12</vt:lpwstr>
  </property>
</Properties>
</file>